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D81" w:rsidRPr="00830BF4" w:rsidRDefault="00F86D81" w:rsidP="00F86D81">
      <w:pPr>
        <w:pStyle w:val="BlockText"/>
        <w:spacing w:after="0"/>
        <w:jc w:val="center"/>
        <w:rPr>
          <w:rFonts w:asciiTheme="majorHAnsi" w:hAnsiTheme="majorHAnsi" w:cstheme="majorHAnsi"/>
          <w:b/>
          <w:sz w:val="28"/>
        </w:rPr>
      </w:pPr>
      <w:bookmarkStart w:id="0" w:name="_GoBack"/>
      <w:bookmarkEnd w:id="0"/>
      <w:r w:rsidRPr="00830BF4">
        <w:rPr>
          <w:rFonts w:asciiTheme="majorHAnsi" w:hAnsiTheme="majorHAnsi" w:cstheme="majorHAnsi"/>
          <w:b/>
          <w:sz w:val="28"/>
        </w:rPr>
        <w:t xml:space="preserve">Fifth Annual Supreme Court Webinar: Cases of Significance to Business </w:t>
      </w:r>
    </w:p>
    <w:p w:rsidR="00F86D81" w:rsidRPr="00830BF4" w:rsidRDefault="00F86D81" w:rsidP="00F86D81">
      <w:pPr>
        <w:pStyle w:val="BlockText"/>
        <w:spacing w:after="0"/>
        <w:jc w:val="center"/>
        <w:rPr>
          <w:rFonts w:asciiTheme="majorHAnsi" w:hAnsiTheme="majorHAnsi" w:cstheme="majorHAnsi"/>
          <w:b/>
          <w:sz w:val="28"/>
        </w:rPr>
      </w:pPr>
      <w:r w:rsidRPr="00830BF4">
        <w:rPr>
          <w:rFonts w:asciiTheme="majorHAnsi" w:hAnsiTheme="majorHAnsi" w:cstheme="majorHAnsi"/>
          <w:b/>
          <w:sz w:val="28"/>
        </w:rPr>
        <w:t>November 8, 2017</w:t>
      </w:r>
    </w:p>
    <w:p w:rsidR="00F86D81" w:rsidRDefault="00F86D81" w:rsidP="00AE7584">
      <w:pPr>
        <w:pStyle w:val="BlockText"/>
        <w:spacing w:after="0"/>
        <w:jc w:val="center"/>
        <w:rPr>
          <w:rFonts w:asciiTheme="majorHAnsi" w:hAnsiTheme="majorHAnsi" w:cstheme="majorHAnsi"/>
          <w:b/>
          <w:i/>
          <w:sz w:val="28"/>
        </w:rPr>
      </w:pPr>
    </w:p>
    <w:p w:rsidR="00096A82" w:rsidRPr="00486D2E" w:rsidRDefault="00096A82" w:rsidP="00AE7584">
      <w:pPr>
        <w:pStyle w:val="BlockText"/>
        <w:spacing w:after="0"/>
        <w:jc w:val="center"/>
        <w:rPr>
          <w:rFonts w:asciiTheme="majorHAnsi" w:hAnsiTheme="majorHAnsi" w:cstheme="majorHAnsi"/>
          <w:b/>
          <w:i/>
          <w:sz w:val="28"/>
        </w:rPr>
      </w:pPr>
      <w:r w:rsidRPr="00486D2E">
        <w:rPr>
          <w:rFonts w:asciiTheme="majorHAnsi" w:hAnsiTheme="majorHAnsi" w:cstheme="majorHAnsi"/>
          <w:b/>
          <w:i/>
          <w:sz w:val="28"/>
        </w:rPr>
        <w:t>Digital Realty Trust, Inc. v. Somers</w:t>
      </w:r>
    </w:p>
    <w:p w:rsidR="00FA24A7" w:rsidRPr="00AE7584" w:rsidRDefault="00486D2E" w:rsidP="00AE7584">
      <w:pPr>
        <w:pStyle w:val="BlockText"/>
        <w:spacing w:after="0"/>
        <w:jc w:val="center"/>
        <w:rPr>
          <w:rFonts w:asciiTheme="majorHAnsi" w:hAnsiTheme="majorHAnsi" w:cstheme="majorHAnsi"/>
        </w:rPr>
      </w:pPr>
      <w:r>
        <w:rPr>
          <w:rFonts w:asciiTheme="majorHAnsi" w:hAnsiTheme="majorHAnsi" w:cstheme="majorHAnsi"/>
        </w:rPr>
        <w:t xml:space="preserve">Case Summary </w:t>
      </w:r>
      <w:r w:rsidR="00FA24A7" w:rsidRPr="00AE7584">
        <w:rPr>
          <w:rFonts w:asciiTheme="majorHAnsi" w:hAnsiTheme="majorHAnsi" w:cstheme="majorHAnsi"/>
        </w:rPr>
        <w:t>by Timothy Taylor</w:t>
      </w:r>
    </w:p>
    <w:p w:rsidR="00C00ABF" w:rsidRPr="00AE7584" w:rsidRDefault="00C00ABF" w:rsidP="00AE7584">
      <w:pPr>
        <w:pStyle w:val="BlockText"/>
        <w:spacing w:before="240" w:after="0"/>
        <w:rPr>
          <w:rFonts w:asciiTheme="majorHAnsi" w:hAnsiTheme="majorHAnsi" w:cstheme="majorHAnsi"/>
          <w:b/>
        </w:rPr>
      </w:pPr>
      <w:r w:rsidRPr="00AE7584">
        <w:rPr>
          <w:rFonts w:asciiTheme="majorHAnsi" w:hAnsiTheme="majorHAnsi" w:cstheme="majorHAnsi"/>
          <w:b/>
        </w:rPr>
        <w:t>1. Case information.</w:t>
      </w:r>
    </w:p>
    <w:p w:rsidR="00096A82" w:rsidRPr="00AE7584" w:rsidRDefault="00096A82" w:rsidP="00AE7584">
      <w:pPr>
        <w:pStyle w:val="BlockText"/>
        <w:spacing w:before="240" w:after="0"/>
        <w:rPr>
          <w:rFonts w:asciiTheme="majorHAnsi" w:hAnsiTheme="majorHAnsi" w:cstheme="majorHAnsi"/>
        </w:rPr>
      </w:pPr>
      <w:r w:rsidRPr="00AE7584">
        <w:rPr>
          <w:rFonts w:asciiTheme="majorHAnsi" w:hAnsiTheme="majorHAnsi" w:cstheme="majorHAnsi"/>
          <w:i/>
        </w:rPr>
        <w:t>Digital Realty Trust, Inc. v. Somers</w:t>
      </w:r>
      <w:r w:rsidRPr="00AE7584">
        <w:rPr>
          <w:rFonts w:asciiTheme="majorHAnsi" w:hAnsiTheme="majorHAnsi" w:cstheme="majorHAnsi"/>
        </w:rPr>
        <w:t>, No. 16-1276</w:t>
      </w:r>
      <w:r w:rsidR="000E4D83">
        <w:rPr>
          <w:rFonts w:asciiTheme="majorHAnsi" w:hAnsiTheme="majorHAnsi" w:cstheme="majorHAnsi"/>
        </w:rPr>
        <w:t xml:space="preserve"> </w:t>
      </w:r>
    </w:p>
    <w:p w:rsidR="00096A82" w:rsidRPr="00AE7584" w:rsidRDefault="00096A82" w:rsidP="00AE7584">
      <w:pPr>
        <w:pStyle w:val="BlockText"/>
        <w:numPr>
          <w:ilvl w:val="0"/>
          <w:numId w:val="33"/>
        </w:numPr>
        <w:spacing w:after="0"/>
        <w:rPr>
          <w:rFonts w:asciiTheme="majorHAnsi" w:hAnsiTheme="majorHAnsi" w:cstheme="majorHAnsi"/>
        </w:rPr>
      </w:pPr>
      <w:r w:rsidRPr="00AE7584">
        <w:rPr>
          <w:rFonts w:asciiTheme="majorHAnsi" w:hAnsiTheme="majorHAnsi" w:cstheme="majorHAnsi"/>
          <w:i/>
        </w:rPr>
        <w:t>Cert. granted:</w:t>
      </w:r>
      <w:r w:rsidRPr="00AE7584">
        <w:rPr>
          <w:rFonts w:asciiTheme="majorHAnsi" w:hAnsiTheme="majorHAnsi" w:cstheme="majorHAnsi"/>
        </w:rPr>
        <w:t xml:space="preserve"> June 26, 2017</w:t>
      </w:r>
    </w:p>
    <w:p w:rsidR="00096A82" w:rsidRPr="00AE7584" w:rsidRDefault="00096A82" w:rsidP="00AE7584">
      <w:pPr>
        <w:pStyle w:val="BlockText"/>
        <w:numPr>
          <w:ilvl w:val="0"/>
          <w:numId w:val="33"/>
        </w:numPr>
        <w:spacing w:after="0"/>
        <w:rPr>
          <w:rFonts w:asciiTheme="majorHAnsi" w:hAnsiTheme="majorHAnsi" w:cstheme="majorHAnsi"/>
        </w:rPr>
      </w:pPr>
      <w:r w:rsidRPr="00AE7584">
        <w:rPr>
          <w:rFonts w:asciiTheme="majorHAnsi" w:hAnsiTheme="majorHAnsi" w:cstheme="majorHAnsi"/>
          <w:i/>
        </w:rPr>
        <w:t xml:space="preserve">Oral argument scheduled: </w:t>
      </w:r>
      <w:r w:rsidRPr="00AE7584">
        <w:rPr>
          <w:rFonts w:asciiTheme="majorHAnsi" w:hAnsiTheme="majorHAnsi" w:cstheme="majorHAnsi"/>
        </w:rPr>
        <w:t>Nov. 28, 2017</w:t>
      </w:r>
    </w:p>
    <w:p w:rsidR="00C00ABF" w:rsidRPr="00AE7584" w:rsidRDefault="00AE7584" w:rsidP="00AE7584">
      <w:pPr>
        <w:pStyle w:val="BlockText"/>
        <w:spacing w:before="240" w:after="0"/>
        <w:rPr>
          <w:rFonts w:asciiTheme="majorHAnsi" w:hAnsiTheme="majorHAnsi" w:cstheme="majorHAnsi"/>
        </w:rPr>
      </w:pPr>
      <w:r>
        <w:rPr>
          <w:rFonts w:asciiTheme="majorHAnsi" w:hAnsiTheme="majorHAnsi" w:cstheme="majorHAnsi"/>
        </w:rPr>
        <w:t>Decisions</w:t>
      </w:r>
      <w:r w:rsidR="00C00ABF" w:rsidRPr="00AE7584">
        <w:rPr>
          <w:rFonts w:asciiTheme="majorHAnsi" w:hAnsiTheme="majorHAnsi" w:cstheme="majorHAnsi"/>
        </w:rPr>
        <w:t xml:space="preserve"> below: </w:t>
      </w:r>
    </w:p>
    <w:p w:rsidR="00096A82" w:rsidRPr="00AE7584" w:rsidRDefault="00096A82" w:rsidP="00AE7584">
      <w:pPr>
        <w:pStyle w:val="BlockText"/>
        <w:numPr>
          <w:ilvl w:val="0"/>
          <w:numId w:val="34"/>
        </w:numPr>
        <w:spacing w:after="0"/>
        <w:rPr>
          <w:rFonts w:asciiTheme="majorHAnsi" w:hAnsiTheme="majorHAnsi" w:cstheme="majorHAnsi"/>
        </w:rPr>
      </w:pPr>
      <w:r w:rsidRPr="00AE7584">
        <w:rPr>
          <w:rFonts w:asciiTheme="majorHAnsi" w:hAnsiTheme="majorHAnsi" w:cstheme="majorHAnsi"/>
          <w:i/>
        </w:rPr>
        <w:t>Somers v. Digital Realty Trust Inc.</w:t>
      </w:r>
      <w:r w:rsidRPr="00AE7584">
        <w:rPr>
          <w:rFonts w:asciiTheme="majorHAnsi" w:hAnsiTheme="majorHAnsi" w:cstheme="majorHAnsi"/>
        </w:rPr>
        <w:t>, 850 F.3d 1045</w:t>
      </w:r>
      <w:r w:rsidR="00001AD5" w:rsidRPr="00AE7584">
        <w:rPr>
          <w:rFonts w:asciiTheme="majorHAnsi" w:hAnsiTheme="majorHAnsi" w:cstheme="majorHAnsi"/>
        </w:rPr>
        <w:t xml:space="preserve"> (9th Cir. 2017)</w:t>
      </w:r>
    </w:p>
    <w:p w:rsidR="00096A82" w:rsidRPr="00AE7584" w:rsidRDefault="00001AD5" w:rsidP="00AE7584">
      <w:pPr>
        <w:pStyle w:val="BlockText"/>
        <w:numPr>
          <w:ilvl w:val="0"/>
          <w:numId w:val="34"/>
        </w:numPr>
        <w:spacing w:after="0"/>
        <w:rPr>
          <w:rFonts w:asciiTheme="majorHAnsi" w:hAnsiTheme="majorHAnsi" w:cstheme="majorHAnsi"/>
        </w:rPr>
      </w:pPr>
      <w:r w:rsidRPr="00AE7584">
        <w:rPr>
          <w:rFonts w:asciiTheme="majorHAnsi" w:hAnsiTheme="majorHAnsi" w:cstheme="majorHAnsi"/>
          <w:i/>
        </w:rPr>
        <w:t>Somers v. Digital Realty Trust Inc.</w:t>
      </w:r>
      <w:r w:rsidRPr="00AE7584">
        <w:rPr>
          <w:rFonts w:asciiTheme="majorHAnsi" w:hAnsiTheme="majorHAnsi" w:cstheme="majorHAnsi"/>
        </w:rPr>
        <w:t xml:space="preserve">, 119 F. Supp. 3d </w:t>
      </w:r>
      <w:r w:rsidR="002557AD" w:rsidRPr="00AE7584">
        <w:rPr>
          <w:rFonts w:asciiTheme="majorHAnsi" w:hAnsiTheme="majorHAnsi" w:cstheme="majorHAnsi"/>
        </w:rPr>
        <w:t>1088 (N.D. Cal. 2015)</w:t>
      </w:r>
    </w:p>
    <w:p w:rsidR="00C00ABF" w:rsidRPr="00AE7584" w:rsidRDefault="00C00ABF" w:rsidP="00AE7584">
      <w:pPr>
        <w:pStyle w:val="BlockText"/>
        <w:spacing w:before="240" w:after="0"/>
        <w:rPr>
          <w:rFonts w:asciiTheme="majorHAnsi" w:hAnsiTheme="majorHAnsi" w:cstheme="majorHAnsi"/>
          <w:b/>
        </w:rPr>
      </w:pPr>
      <w:r w:rsidRPr="00AE7584">
        <w:rPr>
          <w:rFonts w:asciiTheme="majorHAnsi" w:hAnsiTheme="majorHAnsi" w:cstheme="majorHAnsi"/>
          <w:b/>
        </w:rPr>
        <w:t>2. Question presented.</w:t>
      </w:r>
    </w:p>
    <w:p w:rsidR="00001AD5" w:rsidRPr="00AE7584" w:rsidRDefault="00001AD5" w:rsidP="00AE7584">
      <w:pPr>
        <w:pStyle w:val="BlockText"/>
        <w:spacing w:before="240"/>
        <w:jc w:val="both"/>
        <w:rPr>
          <w:rFonts w:asciiTheme="majorHAnsi" w:hAnsiTheme="majorHAnsi" w:cstheme="majorHAnsi"/>
        </w:rPr>
      </w:pPr>
      <w:r w:rsidRPr="00AE7584">
        <w:rPr>
          <w:rFonts w:asciiTheme="majorHAnsi" w:hAnsiTheme="majorHAnsi" w:cstheme="majorHAnsi"/>
        </w:rPr>
        <w:t>Whether the anti-retaliation provision for “whistleblowers” in the Dodd-Frank Wall Street Reform and Consumer Protection Act extends to individuals who have not reported a violation of the securities laws to the Securities and Exchange Commission and thus fall outside the Act’s definition of a “whistleblower.”</w:t>
      </w:r>
    </w:p>
    <w:p w:rsidR="00C00ABF" w:rsidRPr="00AE7584" w:rsidRDefault="00DF403D" w:rsidP="00AE7584">
      <w:pPr>
        <w:pStyle w:val="BlockText"/>
        <w:spacing w:before="240" w:after="0"/>
        <w:rPr>
          <w:rFonts w:asciiTheme="majorHAnsi" w:hAnsiTheme="majorHAnsi" w:cstheme="majorHAnsi"/>
          <w:b/>
        </w:rPr>
      </w:pPr>
      <w:r w:rsidRPr="00AE7584">
        <w:rPr>
          <w:rFonts w:asciiTheme="majorHAnsi" w:hAnsiTheme="majorHAnsi" w:cstheme="majorHAnsi"/>
          <w:b/>
        </w:rPr>
        <w:t>3. Background.</w:t>
      </w:r>
    </w:p>
    <w:p w:rsidR="002726BE" w:rsidRPr="00AE7584" w:rsidRDefault="00CA06AC" w:rsidP="00AE7584">
      <w:pPr>
        <w:pStyle w:val="BlockText"/>
        <w:spacing w:before="240" w:after="0"/>
        <w:jc w:val="both"/>
        <w:rPr>
          <w:rFonts w:asciiTheme="majorHAnsi" w:hAnsiTheme="majorHAnsi" w:cstheme="majorHAnsi"/>
        </w:rPr>
      </w:pPr>
      <w:r w:rsidRPr="00AE7584">
        <w:rPr>
          <w:rFonts w:asciiTheme="majorHAnsi" w:hAnsiTheme="majorHAnsi" w:cstheme="majorHAnsi"/>
          <w:i/>
        </w:rPr>
        <w:t xml:space="preserve">Digital Realty </w:t>
      </w:r>
      <w:r w:rsidRPr="00AE7584">
        <w:rPr>
          <w:rFonts w:asciiTheme="majorHAnsi" w:hAnsiTheme="majorHAnsi" w:cstheme="majorHAnsi"/>
        </w:rPr>
        <w:t>presents</w:t>
      </w:r>
      <w:r w:rsidR="00B80341" w:rsidRPr="00AE7584">
        <w:rPr>
          <w:rFonts w:asciiTheme="majorHAnsi" w:hAnsiTheme="majorHAnsi" w:cstheme="majorHAnsi"/>
        </w:rPr>
        <w:t xml:space="preserve"> a</w:t>
      </w:r>
      <w:r w:rsidR="00842AE7" w:rsidRPr="00AE7584">
        <w:rPr>
          <w:rFonts w:asciiTheme="majorHAnsi" w:hAnsiTheme="majorHAnsi" w:cstheme="majorHAnsi"/>
        </w:rPr>
        <w:t>n interesting</w:t>
      </w:r>
      <w:r w:rsidR="00B80341" w:rsidRPr="00AE7584">
        <w:rPr>
          <w:rFonts w:asciiTheme="majorHAnsi" w:hAnsiTheme="majorHAnsi" w:cstheme="majorHAnsi"/>
        </w:rPr>
        <w:t xml:space="preserve"> question of statutory interpretation. The Sarbanes-Oxley Act</w:t>
      </w:r>
      <w:r w:rsidR="007A7BF1" w:rsidRPr="00AE7584">
        <w:rPr>
          <w:rFonts w:asciiTheme="majorHAnsi" w:hAnsiTheme="majorHAnsi" w:cstheme="majorHAnsi"/>
        </w:rPr>
        <w:t xml:space="preserve"> of</w:t>
      </w:r>
      <w:r w:rsidR="00B80341" w:rsidRPr="00AE7584">
        <w:rPr>
          <w:rFonts w:asciiTheme="majorHAnsi" w:hAnsiTheme="majorHAnsi" w:cstheme="majorHAnsi"/>
        </w:rPr>
        <w:t xml:space="preserve"> 2002</w:t>
      </w:r>
      <w:r w:rsidR="007A7BF1" w:rsidRPr="00AE7584">
        <w:rPr>
          <w:rFonts w:asciiTheme="majorHAnsi" w:hAnsiTheme="majorHAnsi" w:cstheme="majorHAnsi"/>
        </w:rPr>
        <w:t xml:space="preserve"> (</w:t>
      </w:r>
      <w:r w:rsidR="00995E12" w:rsidRPr="00AE7584">
        <w:rPr>
          <w:rFonts w:asciiTheme="majorHAnsi" w:hAnsiTheme="majorHAnsi" w:cstheme="majorHAnsi"/>
        </w:rPr>
        <w:t>“</w:t>
      </w:r>
      <w:r w:rsidR="007A7BF1" w:rsidRPr="00AE7584">
        <w:rPr>
          <w:rFonts w:asciiTheme="majorHAnsi" w:hAnsiTheme="majorHAnsi" w:cstheme="majorHAnsi"/>
        </w:rPr>
        <w:t>SOX</w:t>
      </w:r>
      <w:r w:rsidR="00995E12" w:rsidRPr="00AE7584">
        <w:rPr>
          <w:rFonts w:asciiTheme="majorHAnsi" w:hAnsiTheme="majorHAnsi" w:cstheme="majorHAnsi"/>
        </w:rPr>
        <w:t>”</w:t>
      </w:r>
      <w:r w:rsidR="007A7BF1" w:rsidRPr="00AE7584">
        <w:rPr>
          <w:rFonts w:asciiTheme="majorHAnsi" w:hAnsiTheme="majorHAnsi" w:cstheme="majorHAnsi"/>
        </w:rPr>
        <w:t>)</w:t>
      </w:r>
      <w:r w:rsidR="00B80341" w:rsidRPr="00AE7584">
        <w:rPr>
          <w:rFonts w:asciiTheme="majorHAnsi" w:hAnsiTheme="majorHAnsi" w:cstheme="majorHAnsi"/>
        </w:rPr>
        <w:t xml:space="preserve"> </w:t>
      </w:r>
      <w:r w:rsidR="00057A92" w:rsidRPr="00AE7584">
        <w:rPr>
          <w:rFonts w:asciiTheme="majorHAnsi" w:hAnsiTheme="majorHAnsi" w:cstheme="majorHAnsi"/>
        </w:rPr>
        <w:t>prohibits retaliation against</w:t>
      </w:r>
      <w:r w:rsidR="00B80341" w:rsidRPr="00AE7584">
        <w:rPr>
          <w:rFonts w:asciiTheme="majorHAnsi" w:hAnsiTheme="majorHAnsi" w:cstheme="majorHAnsi"/>
        </w:rPr>
        <w:t xml:space="preserve"> employees who disclose potential fraud or securities violations to the government </w:t>
      </w:r>
      <w:r w:rsidR="00B80341" w:rsidRPr="00AE7584">
        <w:rPr>
          <w:rFonts w:asciiTheme="majorHAnsi" w:hAnsiTheme="majorHAnsi" w:cstheme="majorHAnsi"/>
          <w:i/>
        </w:rPr>
        <w:t xml:space="preserve">or </w:t>
      </w:r>
      <w:r w:rsidR="008A5A15" w:rsidRPr="00AE7584">
        <w:rPr>
          <w:rFonts w:asciiTheme="majorHAnsi" w:hAnsiTheme="majorHAnsi" w:cstheme="majorHAnsi"/>
          <w:i/>
        </w:rPr>
        <w:t xml:space="preserve">to </w:t>
      </w:r>
      <w:r w:rsidR="00057A92" w:rsidRPr="00AE7584">
        <w:rPr>
          <w:rFonts w:asciiTheme="majorHAnsi" w:hAnsiTheme="majorHAnsi" w:cstheme="majorHAnsi"/>
          <w:i/>
        </w:rPr>
        <w:t>a</w:t>
      </w:r>
      <w:r w:rsidR="00B80341" w:rsidRPr="00AE7584">
        <w:rPr>
          <w:rFonts w:asciiTheme="majorHAnsi" w:hAnsiTheme="majorHAnsi" w:cstheme="majorHAnsi"/>
          <w:i/>
        </w:rPr>
        <w:t xml:space="preserve"> supervisor</w:t>
      </w:r>
      <w:r w:rsidR="00B80341" w:rsidRPr="00AE7584">
        <w:rPr>
          <w:rFonts w:asciiTheme="majorHAnsi" w:hAnsiTheme="majorHAnsi" w:cstheme="majorHAnsi"/>
        </w:rPr>
        <w:t>.</w:t>
      </w:r>
      <w:r w:rsidR="00B80341" w:rsidRPr="00AE7584">
        <w:rPr>
          <w:rStyle w:val="FootnoteReference"/>
          <w:rFonts w:asciiTheme="majorHAnsi" w:hAnsiTheme="majorHAnsi" w:cstheme="majorHAnsi"/>
        </w:rPr>
        <w:footnoteReference w:id="1"/>
      </w:r>
      <w:r w:rsidR="00057A92" w:rsidRPr="00AE7584">
        <w:rPr>
          <w:rFonts w:asciiTheme="majorHAnsi" w:hAnsiTheme="majorHAnsi" w:cstheme="majorHAnsi"/>
        </w:rPr>
        <w:t xml:space="preserve"> Dodd-Frank, passed in 2010, added</w:t>
      </w:r>
      <w:r w:rsidR="002726BE" w:rsidRPr="00AE7584">
        <w:rPr>
          <w:rFonts w:asciiTheme="majorHAnsi" w:hAnsiTheme="majorHAnsi" w:cstheme="majorHAnsi"/>
        </w:rPr>
        <w:t xml:space="preserve"> </w:t>
      </w:r>
      <w:r w:rsidR="00995E12" w:rsidRPr="00AE7584">
        <w:rPr>
          <w:rFonts w:asciiTheme="majorHAnsi" w:hAnsiTheme="majorHAnsi" w:cstheme="majorHAnsi"/>
        </w:rPr>
        <w:t>§ </w:t>
      </w:r>
      <w:r w:rsidR="002726BE" w:rsidRPr="00AE7584">
        <w:rPr>
          <w:rFonts w:asciiTheme="majorHAnsi" w:hAnsiTheme="majorHAnsi" w:cstheme="majorHAnsi"/>
        </w:rPr>
        <w:t>21F to the Exchange Act</w:t>
      </w:r>
      <w:r w:rsidR="002557AD" w:rsidRPr="00AE7584">
        <w:rPr>
          <w:rFonts w:asciiTheme="majorHAnsi" w:hAnsiTheme="majorHAnsi" w:cstheme="majorHAnsi"/>
        </w:rPr>
        <w:t>.</w:t>
      </w:r>
      <w:r w:rsidR="00057A92" w:rsidRPr="00AE7584">
        <w:rPr>
          <w:rStyle w:val="FootnoteReference"/>
          <w:rFonts w:asciiTheme="majorHAnsi" w:hAnsiTheme="majorHAnsi" w:cstheme="majorHAnsi"/>
        </w:rPr>
        <w:footnoteReference w:id="2"/>
      </w:r>
      <w:r w:rsidR="00364C41" w:rsidRPr="00AE7584">
        <w:rPr>
          <w:rFonts w:asciiTheme="majorHAnsi" w:hAnsiTheme="majorHAnsi" w:cstheme="majorHAnsi"/>
        </w:rPr>
        <w:t xml:space="preserve"> </w:t>
      </w:r>
      <w:r w:rsidR="002557AD" w:rsidRPr="00AE7584">
        <w:rPr>
          <w:rFonts w:asciiTheme="majorHAnsi" w:hAnsiTheme="majorHAnsi" w:cstheme="majorHAnsi"/>
        </w:rPr>
        <w:t>This provision</w:t>
      </w:r>
      <w:r w:rsidR="008A5A15" w:rsidRPr="00AE7584">
        <w:rPr>
          <w:rFonts w:asciiTheme="majorHAnsi" w:hAnsiTheme="majorHAnsi" w:cstheme="majorHAnsi"/>
        </w:rPr>
        <w:t xml:space="preserve"> </w:t>
      </w:r>
      <w:r w:rsidR="002726BE" w:rsidRPr="00AE7584">
        <w:rPr>
          <w:rFonts w:asciiTheme="majorHAnsi" w:hAnsiTheme="majorHAnsi" w:cstheme="majorHAnsi"/>
        </w:rPr>
        <w:t xml:space="preserve">defines a </w:t>
      </w:r>
      <w:r w:rsidR="002726BE" w:rsidRPr="00AE7584">
        <w:rPr>
          <w:rFonts w:asciiTheme="majorHAnsi" w:hAnsiTheme="majorHAnsi" w:cstheme="majorHAnsi"/>
          <w:i/>
        </w:rPr>
        <w:t>whistleblower</w:t>
      </w:r>
      <w:r w:rsidR="002726BE" w:rsidRPr="00AE7584">
        <w:rPr>
          <w:rFonts w:asciiTheme="majorHAnsi" w:hAnsiTheme="majorHAnsi" w:cstheme="majorHAnsi"/>
        </w:rPr>
        <w:t xml:space="preserve"> as anyone who provides “information relating to a violation of the securities laws </w:t>
      </w:r>
      <w:r w:rsidR="002726BE" w:rsidRPr="00AE7584">
        <w:rPr>
          <w:rFonts w:asciiTheme="majorHAnsi" w:hAnsiTheme="majorHAnsi" w:cstheme="majorHAnsi"/>
          <w:i/>
        </w:rPr>
        <w:t>to the [SEC]</w:t>
      </w:r>
      <w:r w:rsidR="00FC6317" w:rsidRPr="00AE7584">
        <w:rPr>
          <w:rFonts w:asciiTheme="majorHAnsi" w:hAnsiTheme="majorHAnsi" w:cstheme="majorHAnsi"/>
        </w:rPr>
        <w:t xml:space="preserve"> . . . .</w:t>
      </w:r>
      <w:r w:rsidR="002726BE" w:rsidRPr="00AE7584">
        <w:rPr>
          <w:rFonts w:asciiTheme="majorHAnsi" w:hAnsiTheme="majorHAnsi" w:cstheme="majorHAnsi"/>
        </w:rPr>
        <w:t>”</w:t>
      </w:r>
      <w:r w:rsidR="002726BE" w:rsidRPr="00AE7584">
        <w:rPr>
          <w:rStyle w:val="FootnoteReference"/>
          <w:rFonts w:asciiTheme="majorHAnsi" w:hAnsiTheme="majorHAnsi" w:cstheme="majorHAnsi"/>
        </w:rPr>
        <w:footnoteReference w:id="3"/>
      </w:r>
      <w:r w:rsidR="008A5A15" w:rsidRPr="00AE7584">
        <w:rPr>
          <w:rFonts w:asciiTheme="majorHAnsi" w:hAnsiTheme="majorHAnsi" w:cstheme="majorHAnsi"/>
        </w:rPr>
        <w:t xml:space="preserve"> Yet </w:t>
      </w:r>
      <w:r w:rsidR="00995E12" w:rsidRPr="00AE7584">
        <w:rPr>
          <w:rFonts w:asciiTheme="majorHAnsi" w:hAnsiTheme="majorHAnsi" w:cstheme="majorHAnsi"/>
        </w:rPr>
        <w:t>§ </w:t>
      </w:r>
      <w:r w:rsidR="008A5A15" w:rsidRPr="00AE7584">
        <w:rPr>
          <w:rFonts w:asciiTheme="majorHAnsi" w:hAnsiTheme="majorHAnsi" w:cstheme="majorHAnsi"/>
        </w:rPr>
        <w:t xml:space="preserve">21F </w:t>
      </w:r>
      <w:r w:rsidR="002726BE" w:rsidRPr="00AE7584">
        <w:rPr>
          <w:rFonts w:asciiTheme="majorHAnsi" w:hAnsiTheme="majorHAnsi" w:cstheme="majorHAnsi"/>
        </w:rPr>
        <w:t xml:space="preserve">prohibits retaliation against “a </w:t>
      </w:r>
      <w:r w:rsidR="002726BE" w:rsidRPr="00AE7584">
        <w:rPr>
          <w:rFonts w:asciiTheme="majorHAnsi" w:hAnsiTheme="majorHAnsi" w:cstheme="majorHAnsi"/>
          <w:i/>
        </w:rPr>
        <w:t>whistleblower</w:t>
      </w:r>
      <w:r w:rsidR="002726BE" w:rsidRPr="00AE7584">
        <w:rPr>
          <w:rFonts w:asciiTheme="majorHAnsi" w:hAnsiTheme="majorHAnsi" w:cstheme="majorHAnsi"/>
        </w:rPr>
        <w:t xml:space="preserve"> because of any lawful act done by the </w:t>
      </w:r>
      <w:r w:rsidR="002726BE" w:rsidRPr="00AE7584">
        <w:rPr>
          <w:rFonts w:asciiTheme="majorHAnsi" w:hAnsiTheme="majorHAnsi" w:cstheme="majorHAnsi"/>
          <w:i/>
        </w:rPr>
        <w:t>whistleblower</w:t>
      </w:r>
      <w:r w:rsidR="002726BE" w:rsidRPr="00AE7584">
        <w:rPr>
          <w:rFonts w:asciiTheme="majorHAnsi" w:hAnsiTheme="majorHAnsi" w:cstheme="majorHAnsi"/>
        </w:rPr>
        <w:t>”</w:t>
      </w:r>
      <w:r w:rsidR="008A5A15" w:rsidRPr="00AE7584">
        <w:rPr>
          <w:rFonts w:asciiTheme="majorHAnsi" w:hAnsiTheme="majorHAnsi" w:cstheme="majorHAnsi"/>
        </w:rPr>
        <w:t xml:space="preserve"> in doing </w:t>
      </w:r>
      <w:r w:rsidR="002726BE" w:rsidRPr="00AE7584">
        <w:rPr>
          <w:rFonts w:asciiTheme="majorHAnsi" w:hAnsiTheme="majorHAnsi" w:cstheme="majorHAnsi"/>
        </w:rPr>
        <w:t>any of three things</w:t>
      </w:r>
      <w:r w:rsidR="008A5A15" w:rsidRPr="00AE7584">
        <w:rPr>
          <w:rFonts w:asciiTheme="majorHAnsi" w:hAnsiTheme="majorHAnsi" w:cstheme="majorHAnsi"/>
        </w:rPr>
        <w:t>, the third of which is most important here</w:t>
      </w:r>
      <w:r w:rsidR="002726BE" w:rsidRPr="00AE7584">
        <w:rPr>
          <w:rFonts w:asciiTheme="majorHAnsi" w:hAnsiTheme="majorHAnsi" w:cstheme="majorHAnsi"/>
        </w:rPr>
        <w:t>:</w:t>
      </w:r>
    </w:p>
    <w:p w:rsidR="002726BE" w:rsidRPr="00AE7584" w:rsidRDefault="002726BE" w:rsidP="00AE7584">
      <w:pPr>
        <w:pStyle w:val="BlockText"/>
        <w:spacing w:before="240"/>
        <w:ind w:right="720" w:firstLine="720"/>
        <w:jc w:val="both"/>
        <w:rPr>
          <w:rFonts w:asciiTheme="majorHAnsi" w:hAnsiTheme="majorHAnsi" w:cstheme="majorHAnsi"/>
        </w:rPr>
      </w:pPr>
      <w:r w:rsidRPr="00AE7584">
        <w:rPr>
          <w:rFonts w:asciiTheme="majorHAnsi" w:hAnsiTheme="majorHAnsi" w:cstheme="majorHAnsi"/>
        </w:rPr>
        <w:t>(i) in providing information to the [SEC] in accordance with this section;</w:t>
      </w:r>
    </w:p>
    <w:p w:rsidR="002726BE" w:rsidRPr="00AE7584" w:rsidRDefault="002726BE" w:rsidP="00AE7584">
      <w:pPr>
        <w:pStyle w:val="BlockText"/>
        <w:spacing w:before="240"/>
        <w:ind w:left="720" w:right="720"/>
        <w:jc w:val="both"/>
        <w:rPr>
          <w:rFonts w:asciiTheme="majorHAnsi" w:hAnsiTheme="majorHAnsi" w:cstheme="majorHAnsi"/>
        </w:rPr>
      </w:pPr>
      <w:r w:rsidRPr="00AE7584">
        <w:rPr>
          <w:rFonts w:asciiTheme="majorHAnsi" w:hAnsiTheme="majorHAnsi" w:cstheme="majorHAnsi"/>
        </w:rPr>
        <w:t>(ii) in initiating, testifying in, or assisting in any investigation or judicial or administrative action of the [SEC] based upon or related to such information; or</w:t>
      </w:r>
    </w:p>
    <w:p w:rsidR="002726BE" w:rsidRPr="00AE7584" w:rsidRDefault="002726BE" w:rsidP="00AE7584">
      <w:pPr>
        <w:pStyle w:val="BlockText"/>
        <w:spacing w:before="240" w:after="0"/>
        <w:ind w:left="720" w:right="720"/>
        <w:jc w:val="both"/>
        <w:rPr>
          <w:rFonts w:asciiTheme="majorHAnsi" w:hAnsiTheme="majorHAnsi" w:cstheme="majorHAnsi"/>
        </w:rPr>
      </w:pPr>
      <w:r w:rsidRPr="00AE7584">
        <w:rPr>
          <w:rFonts w:asciiTheme="majorHAnsi" w:hAnsiTheme="majorHAnsi" w:cstheme="majorHAnsi"/>
        </w:rPr>
        <w:t xml:space="preserve">(iii) </w:t>
      </w:r>
      <w:r w:rsidRPr="00AE7584">
        <w:rPr>
          <w:rFonts w:asciiTheme="majorHAnsi" w:hAnsiTheme="majorHAnsi" w:cstheme="majorHAnsi"/>
          <w:i/>
        </w:rPr>
        <w:t>in making disclosures that are required or protected under the Sarbanes-Oxley Act of 2002</w:t>
      </w:r>
      <w:r w:rsidR="00FC6317" w:rsidRPr="00AE7584">
        <w:rPr>
          <w:rFonts w:asciiTheme="majorHAnsi" w:hAnsiTheme="majorHAnsi" w:cstheme="majorHAnsi"/>
          <w:i/>
        </w:rPr>
        <w:t xml:space="preserve"> </w:t>
      </w:r>
      <w:r w:rsidR="00FC6317" w:rsidRPr="00AE7584">
        <w:rPr>
          <w:rFonts w:asciiTheme="majorHAnsi" w:hAnsiTheme="majorHAnsi" w:cstheme="majorHAnsi"/>
        </w:rPr>
        <w:t>. . . , the Securities Exchange Act of 1934 . . . , section 1513(e) of Title 18, and any other law, rule, or regulation subject to the jurisdiction of the [SEC].</w:t>
      </w:r>
      <w:r w:rsidRPr="00AE7584">
        <w:rPr>
          <w:rStyle w:val="FootnoteReference"/>
          <w:rFonts w:asciiTheme="majorHAnsi" w:hAnsiTheme="majorHAnsi" w:cstheme="majorHAnsi"/>
        </w:rPr>
        <w:footnoteReference w:id="4"/>
      </w:r>
    </w:p>
    <w:p w:rsidR="008A5A15" w:rsidRPr="00AE7584" w:rsidRDefault="007A7BF1" w:rsidP="00AE7584">
      <w:pPr>
        <w:pStyle w:val="BlockText"/>
        <w:spacing w:before="240" w:after="0"/>
        <w:jc w:val="both"/>
        <w:rPr>
          <w:rFonts w:asciiTheme="majorHAnsi" w:hAnsiTheme="majorHAnsi" w:cstheme="majorHAnsi"/>
        </w:rPr>
      </w:pPr>
      <w:r w:rsidRPr="00AE7584">
        <w:rPr>
          <w:rFonts w:asciiTheme="majorHAnsi" w:hAnsiTheme="majorHAnsi" w:cstheme="majorHAnsi"/>
        </w:rPr>
        <w:t>There is tension between these two Do</w:t>
      </w:r>
      <w:r w:rsidR="002557AD" w:rsidRPr="00AE7584">
        <w:rPr>
          <w:rFonts w:asciiTheme="majorHAnsi" w:hAnsiTheme="majorHAnsi" w:cstheme="majorHAnsi"/>
        </w:rPr>
        <w:t>dd-Frank provisions. The first provision defines</w:t>
      </w:r>
      <w:r w:rsidRPr="00AE7584">
        <w:rPr>
          <w:rFonts w:asciiTheme="majorHAnsi" w:hAnsiTheme="majorHAnsi" w:cstheme="majorHAnsi"/>
        </w:rPr>
        <w:t xml:space="preserve"> a </w:t>
      </w:r>
      <w:r w:rsidRPr="00AE7584">
        <w:rPr>
          <w:rFonts w:asciiTheme="majorHAnsi" w:hAnsiTheme="majorHAnsi" w:cstheme="majorHAnsi"/>
          <w:i/>
        </w:rPr>
        <w:t xml:space="preserve">whistleblower </w:t>
      </w:r>
      <w:r w:rsidR="002557AD" w:rsidRPr="00AE7584">
        <w:rPr>
          <w:rFonts w:asciiTheme="majorHAnsi" w:hAnsiTheme="majorHAnsi" w:cstheme="majorHAnsi"/>
        </w:rPr>
        <w:t xml:space="preserve">to </w:t>
      </w:r>
      <w:r w:rsidRPr="00AE7584">
        <w:rPr>
          <w:rFonts w:asciiTheme="majorHAnsi" w:hAnsiTheme="majorHAnsi" w:cstheme="majorHAnsi"/>
        </w:rPr>
        <w:t xml:space="preserve">include only those who report </w:t>
      </w:r>
      <w:r w:rsidRPr="00AE7584">
        <w:rPr>
          <w:rFonts w:asciiTheme="majorHAnsi" w:hAnsiTheme="majorHAnsi" w:cstheme="majorHAnsi"/>
          <w:i/>
        </w:rPr>
        <w:t>to the SEC</w:t>
      </w:r>
      <w:r w:rsidRPr="00AE7584">
        <w:rPr>
          <w:rFonts w:asciiTheme="majorHAnsi" w:hAnsiTheme="majorHAnsi" w:cstheme="majorHAnsi"/>
        </w:rPr>
        <w:t>. But the second</w:t>
      </w:r>
      <w:r w:rsidR="002557AD" w:rsidRPr="00AE7584">
        <w:rPr>
          <w:rFonts w:asciiTheme="majorHAnsi" w:hAnsiTheme="majorHAnsi" w:cstheme="majorHAnsi"/>
        </w:rPr>
        <w:t xml:space="preserve"> provision</w:t>
      </w:r>
      <w:r w:rsidRPr="00AE7584">
        <w:rPr>
          <w:rFonts w:asciiTheme="majorHAnsi" w:hAnsiTheme="majorHAnsi" w:cstheme="majorHAnsi"/>
        </w:rPr>
        <w:t xml:space="preserve"> prohibits retaliation against those who make protected disclosures under SOX—and SOX also protects those who report </w:t>
      </w:r>
      <w:r w:rsidRPr="00AE7584">
        <w:rPr>
          <w:rFonts w:asciiTheme="majorHAnsi" w:hAnsiTheme="majorHAnsi" w:cstheme="majorHAnsi"/>
          <w:i/>
        </w:rPr>
        <w:t>to a supervisor</w:t>
      </w:r>
      <w:r w:rsidRPr="00AE7584">
        <w:rPr>
          <w:rFonts w:asciiTheme="majorHAnsi" w:hAnsiTheme="majorHAnsi" w:cstheme="majorHAnsi"/>
        </w:rPr>
        <w:t>.</w:t>
      </w:r>
      <w:r w:rsidRPr="00AE7584">
        <w:rPr>
          <w:rStyle w:val="FootnoteReference"/>
          <w:rFonts w:asciiTheme="majorHAnsi" w:hAnsiTheme="majorHAnsi" w:cstheme="majorHAnsi"/>
        </w:rPr>
        <w:footnoteReference w:id="5"/>
      </w:r>
    </w:p>
    <w:p w:rsidR="007A7BF1" w:rsidRPr="00AE7584" w:rsidRDefault="00B26440" w:rsidP="00AE7584">
      <w:pPr>
        <w:pStyle w:val="BlockText"/>
        <w:spacing w:before="240" w:after="0"/>
        <w:jc w:val="both"/>
        <w:rPr>
          <w:rFonts w:asciiTheme="majorHAnsi" w:hAnsiTheme="majorHAnsi" w:cstheme="majorHAnsi"/>
        </w:rPr>
      </w:pPr>
      <w:r w:rsidRPr="00AE7584">
        <w:rPr>
          <w:rFonts w:asciiTheme="majorHAnsi" w:hAnsiTheme="majorHAnsi" w:cstheme="majorHAnsi"/>
        </w:rPr>
        <w:t>The SEC issued a rule in 2011 interpreting Section 21F in favor of broader protections for whistleblowers.</w:t>
      </w:r>
      <w:r w:rsidRPr="00AE7584">
        <w:rPr>
          <w:rStyle w:val="FootnoteReference"/>
          <w:rFonts w:asciiTheme="majorHAnsi" w:hAnsiTheme="majorHAnsi" w:cstheme="majorHAnsi"/>
        </w:rPr>
        <w:footnoteReference w:id="6"/>
      </w:r>
      <w:r w:rsidRPr="00AE7584">
        <w:rPr>
          <w:rFonts w:asciiTheme="majorHAnsi" w:hAnsiTheme="majorHAnsi" w:cstheme="majorHAnsi"/>
        </w:rPr>
        <w:t xml:space="preserve"> The SEC’</w:t>
      </w:r>
      <w:r w:rsidR="00D512B2" w:rsidRPr="00AE7584">
        <w:rPr>
          <w:rFonts w:asciiTheme="majorHAnsi" w:hAnsiTheme="majorHAnsi" w:cstheme="majorHAnsi"/>
        </w:rPr>
        <w:t>s preamble to the rule explains that whistleblowers under Dodd-Frank include those who make SOX-protected disclosures to supervisors:</w:t>
      </w:r>
      <w:r w:rsidRPr="00AE7584">
        <w:rPr>
          <w:rFonts w:asciiTheme="majorHAnsi" w:hAnsiTheme="majorHAnsi" w:cstheme="majorHAnsi"/>
        </w:rPr>
        <w:t xml:space="preserve"> “[T]he statutory anti-retaliation protections apply to three different categories of whistleblowers, and the third category includes individuals who report to persons or governmental authorities </w:t>
      </w:r>
      <w:r w:rsidRPr="00AE7584">
        <w:rPr>
          <w:rFonts w:asciiTheme="majorHAnsi" w:hAnsiTheme="majorHAnsi" w:cstheme="majorHAnsi"/>
          <w:i/>
        </w:rPr>
        <w:t>other than the Commission</w:t>
      </w:r>
      <w:r w:rsidRPr="00AE7584">
        <w:rPr>
          <w:rFonts w:asciiTheme="majorHAnsi" w:hAnsiTheme="majorHAnsi" w:cstheme="majorHAnsi"/>
        </w:rPr>
        <w:t>.”</w:t>
      </w:r>
      <w:r w:rsidRPr="00AE7584">
        <w:rPr>
          <w:rStyle w:val="FootnoteReference"/>
          <w:rFonts w:asciiTheme="majorHAnsi" w:hAnsiTheme="majorHAnsi" w:cstheme="majorHAnsi"/>
        </w:rPr>
        <w:footnoteReference w:id="7"/>
      </w:r>
      <w:r w:rsidR="00D512B2" w:rsidRPr="00AE7584">
        <w:rPr>
          <w:rFonts w:asciiTheme="majorHAnsi" w:hAnsiTheme="majorHAnsi" w:cstheme="majorHAnsi"/>
        </w:rPr>
        <w:t xml:space="preserve"> Thus the rule states that</w:t>
      </w:r>
      <w:r w:rsidRPr="00AE7584">
        <w:rPr>
          <w:rFonts w:asciiTheme="majorHAnsi" w:hAnsiTheme="majorHAnsi" w:cstheme="majorHAnsi"/>
        </w:rPr>
        <w:t xml:space="preserve"> “you are a whistleblower if … [y]ou provide information in a manner described in [any of the three ways listed in </w:t>
      </w:r>
      <w:r w:rsidR="00CA06AC" w:rsidRPr="00AE7584">
        <w:rPr>
          <w:rFonts w:asciiTheme="majorHAnsi" w:hAnsiTheme="majorHAnsi" w:cstheme="majorHAnsi"/>
        </w:rPr>
        <w:t xml:space="preserve">clauses </w:t>
      </w:r>
      <w:r w:rsidRPr="00AE7584">
        <w:rPr>
          <w:rFonts w:asciiTheme="majorHAnsi" w:hAnsiTheme="majorHAnsi" w:cstheme="majorHAnsi"/>
        </w:rPr>
        <w:t>(i) through</w:t>
      </w:r>
      <w:r w:rsidR="00CA06AC" w:rsidRPr="00AE7584">
        <w:rPr>
          <w:rFonts w:asciiTheme="majorHAnsi" w:hAnsiTheme="majorHAnsi" w:cstheme="majorHAnsi"/>
        </w:rPr>
        <w:t> </w:t>
      </w:r>
      <w:r w:rsidRPr="00AE7584">
        <w:rPr>
          <w:rFonts w:asciiTheme="majorHAnsi" w:hAnsiTheme="majorHAnsi" w:cstheme="majorHAnsi"/>
        </w:rPr>
        <w:t>(iii)</w:t>
      </w:r>
      <w:r w:rsidR="00D512B2" w:rsidRPr="00AE7584">
        <w:rPr>
          <w:rFonts w:asciiTheme="majorHAnsi" w:hAnsiTheme="majorHAnsi" w:cstheme="majorHAnsi"/>
        </w:rPr>
        <w:t>]</w:t>
      </w:r>
      <w:r w:rsidRPr="00AE7584">
        <w:rPr>
          <w:rFonts w:asciiTheme="majorHAnsi" w:hAnsiTheme="majorHAnsi" w:cstheme="majorHAnsi"/>
        </w:rPr>
        <w:t>.”</w:t>
      </w:r>
      <w:r w:rsidRPr="00AE7584">
        <w:rPr>
          <w:rStyle w:val="FootnoteReference"/>
          <w:rFonts w:asciiTheme="majorHAnsi" w:hAnsiTheme="majorHAnsi" w:cstheme="majorHAnsi"/>
        </w:rPr>
        <w:footnoteReference w:id="8"/>
      </w:r>
      <w:r w:rsidRPr="00AE7584">
        <w:rPr>
          <w:rFonts w:asciiTheme="majorHAnsi" w:hAnsiTheme="majorHAnsi" w:cstheme="majorHAnsi"/>
        </w:rPr>
        <w:t xml:space="preserve"> </w:t>
      </w:r>
    </w:p>
    <w:p w:rsidR="00FC6317" w:rsidRPr="00AE7584" w:rsidRDefault="00D512B2" w:rsidP="00AE7584">
      <w:pPr>
        <w:pStyle w:val="BlockText"/>
        <w:spacing w:before="240" w:after="0"/>
        <w:jc w:val="both"/>
        <w:rPr>
          <w:rFonts w:asciiTheme="majorHAnsi" w:hAnsiTheme="majorHAnsi" w:cstheme="majorHAnsi"/>
        </w:rPr>
      </w:pPr>
      <w:r w:rsidRPr="00AE7584">
        <w:rPr>
          <w:rFonts w:asciiTheme="majorHAnsi" w:hAnsiTheme="majorHAnsi" w:cstheme="majorHAnsi"/>
        </w:rPr>
        <w:t xml:space="preserve">Most courts, applying the two-step </w:t>
      </w:r>
      <w:r w:rsidRPr="00AE7584">
        <w:rPr>
          <w:rFonts w:asciiTheme="majorHAnsi" w:hAnsiTheme="majorHAnsi" w:cstheme="majorHAnsi"/>
          <w:i/>
        </w:rPr>
        <w:t xml:space="preserve">Chevron </w:t>
      </w:r>
      <w:r w:rsidR="00FC6317" w:rsidRPr="00AE7584">
        <w:rPr>
          <w:rFonts w:asciiTheme="majorHAnsi" w:hAnsiTheme="majorHAnsi" w:cstheme="majorHAnsi"/>
        </w:rPr>
        <w:t>framework, have held</w:t>
      </w:r>
      <w:r w:rsidRPr="00AE7584">
        <w:rPr>
          <w:rFonts w:asciiTheme="majorHAnsi" w:hAnsiTheme="majorHAnsi" w:cstheme="majorHAnsi"/>
        </w:rPr>
        <w:t xml:space="preserve"> that the tension in Section 21F renders the statute ambiguous (</w:t>
      </w:r>
      <w:r w:rsidRPr="00AE7584">
        <w:rPr>
          <w:rFonts w:asciiTheme="majorHAnsi" w:hAnsiTheme="majorHAnsi" w:cstheme="majorHAnsi"/>
          <w:i/>
        </w:rPr>
        <w:t xml:space="preserve">Chevron </w:t>
      </w:r>
      <w:r w:rsidR="00FC6317" w:rsidRPr="00AE7584">
        <w:rPr>
          <w:rFonts w:asciiTheme="majorHAnsi" w:hAnsiTheme="majorHAnsi" w:cstheme="majorHAnsi"/>
        </w:rPr>
        <w:t>step one), and have thus deferred to the</w:t>
      </w:r>
      <w:r w:rsidRPr="00AE7584">
        <w:rPr>
          <w:rFonts w:asciiTheme="majorHAnsi" w:hAnsiTheme="majorHAnsi" w:cstheme="majorHAnsi"/>
        </w:rPr>
        <w:t xml:space="preserve"> SEC</w:t>
      </w:r>
      <w:r w:rsidR="00FC6317" w:rsidRPr="00AE7584">
        <w:rPr>
          <w:rFonts w:asciiTheme="majorHAnsi" w:hAnsiTheme="majorHAnsi" w:cstheme="majorHAnsi"/>
        </w:rPr>
        <w:t>’s</w:t>
      </w:r>
      <w:r w:rsidRPr="00AE7584">
        <w:rPr>
          <w:rFonts w:asciiTheme="majorHAnsi" w:hAnsiTheme="majorHAnsi" w:cstheme="majorHAnsi"/>
        </w:rPr>
        <w:t xml:space="preserve"> interpretation of the statute as incorporating SOX’s protections (</w:t>
      </w:r>
      <w:r w:rsidRPr="00AE7584">
        <w:rPr>
          <w:rFonts w:asciiTheme="majorHAnsi" w:hAnsiTheme="majorHAnsi" w:cstheme="majorHAnsi"/>
          <w:i/>
        </w:rPr>
        <w:t xml:space="preserve">Chevron </w:t>
      </w:r>
      <w:r w:rsidRPr="00AE7584">
        <w:rPr>
          <w:rFonts w:asciiTheme="majorHAnsi" w:hAnsiTheme="majorHAnsi" w:cstheme="majorHAnsi"/>
        </w:rPr>
        <w:t>step two).</w:t>
      </w:r>
      <w:r w:rsidRPr="00AE7584">
        <w:rPr>
          <w:rStyle w:val="FootnoteReference"/>
          <w:rFonts w:asciiTheme="majorHAnsi" w:hAnsiTheme="majorHAnsi" w:cstheme="majorHAnsi"/>
        </w:rPr>
        <w:footnoteReference w:id="9"/>
      </w:r>
      <w:r w:rsidRPr="00AE7584">
        <w:rPr>
          <w:rFonts w:asciiTheme="majorHAnsi" w:hAnsiTheme="majorHAnsi" w:cstheme="majorHAnsi"/>
        </w:rPr>
        <w:t xml:space="preserve"> But</w:t>
      </w:r>
      <w:r w:rsidR="005C4DF7">
        <w:rPr>
          <w:rFonts w:asciiTheme="majorHAnsi" w:hAnsiTheme="majorHAnsi" w:cstheme="majorHAnsi"/>
        </w:rPr>
        <w:t xml:space="preserve"> some courts have disagreed with that analysis</w:t>
      </w:r>
      <w:r w:rsidR="002557AD" w:rsidRPr="00AE7584">
        <w:rPr>
          <w:rFonts w:asciiTheme="majorHAnsi" w:hAnsiTheme="majorHAnsi" w:cstheme="majorHAnsi"/>
        </w:rPr>
        <w:t>, which has led to a</w:t>
      </w:r>
      <w:r w:rsidRPr="00AE7584">
        <w:rPr>
          <w:rFonts w:asciiTheme="majorHAnsi" w:hAnsiTheme="majorHAnsi" w:cstheme="majorHAnsi"/>
        </w:rPr>
        <w:t xml:space="preserve"> circuit</w:t>
      </w:r>
      <w:r w:rsidR="002557AD" w:rsidRPr="00AE7584">
        <w:rPr>
          <w:rFonts w:asciiTheme="majorHAnsi" w:hAnsiTheme="majorHAnsi" w:cstheme="majorHAnsi"/>
        </w:rPr>
        <w:t>-level</w:t>
      </w:r>
      <w:r w:rsidRPr="00AE7584">
        <w:rPr>
          <w:rFonts w:asciiTheme="majorHAnsi" w:hAnsiTheme="majorHAnsi" w:cstheme="majorHAnsi"/>
        </w:rPr>
        <w:t xml:space="preserve"> split.</w:t>
      </w:r>
    </w:p>
    <w:p w:rsidR="00D512B2" w:rsidRPr="00AE7584" w:rsidRDefault="00FC6317" w:rsidP="00AE7584">
      <w:pPr>
        <w:pStyle w:val="BlockText"/>
        <w:spacing w:before="240" w:after="0"/>
        <w:jc w:val="both"/>
        <w:rPr>
          <w:rFonts w:asciiTheme="majorHAnsi" w:hAnsiTheme="majorHAnsi" w:cstheme="majorHAnsi"/>
        </w:rPr>
      </w:pPr>
      <w:r w:rsidRPr="00AE7584">
        <w:rPr>
          <w:rFonts w:asciiTheme="majorHAnsi" w:hAnsiTheme="majorHAnsi" w:cstheme="majorHAnsi"/>
        </w:rPr>
        <w:t xml:space="preserve">On one side of the split is the Fifth Circuit. </w:t>
      </w:r>
      <w:r w:rsidR="00891D5E" w:rsidRPr="00AE7584">
        <w:rPr>
          <w:rFonts w:asciiTheme="majorHAnsi" w:hAnsiTheme="majorHAnsi" w:cstheme="majorHAnsi"/>
        </w:rPr>
        <w:t xml:space="preserve">It held in 2013 that </w:t>
      </w:r>
      <w:r w:rsidR="005C4DF7">
        <w:rPr>
          <w:rFonts w:asciiTheme="majorHAnsi" w:hAnsiTheme="majorHAnsi" w:cstheme="majorHAnsi"/>
        </w:rPr>
        <w:t>§ </w:t>
      </w:r>
      <w:r w:rsidR="00891D5E" w:rsidRPr="00AE7584">
        <w:rPr>
          <w:rFonts w:asciiTheme="majorHAnsi" w:hAnsiTheme="majorHAnsi" w:cstheme="majorHAnsi"/>
        </w:rPr>
        <w:t>21F is not ambiguous. “The three categories</w:t>
      </w:r>
      <w:r w:rsidR="005C4DF7">
        <w:rPr>
          <w:rFonts w:asciiTheme="majorHAnsi" w:hAnsiTheme="majorHAnsi" w:cstheme="majorHAnsi"/>
        </w:rPr>
        <w:t xml:space="preserve"> listed in [the] subparagraph .</w:t>
      </w:r>
      <w:r w:rsidR="00891D5E" w:rsidRPr="00AE7584">
        <w:rPr>
          <w:rFonts w:asciiTheme="majorHAnsi" w:hAnsiTheme="majorHAnsi" w:cstheme="majorHAnsi"/>
        </w:rPr>
        <w:t>.. represent the protected activity in a whistleblower-protection claim. They do not, however, define which individuals qualify as whistleblowers.”</w:t>
      </w:r>
      <w:r w:rsidR="00891D5E" w:rsidRPr="00AE7584">
        <w:rPr>
          <w:rStyle w:val="FootnoteReference"/>
          <w:rFonts w:asciiTheme="majorHAnsi" w:hAnsiTheme="majorHAnsi" w:cstheme="majorHAnsi"/>
        </w:rPr>
        <w:footnoteReference w:id="10"/>
      </w:r>
      <w:r w:rsidR="00C834FC" w:rsidRPr="00AE7584">
        <w:rPr>
          <w:rFonts w:asciiTheme="majorHAnsi" w:hAnsiTheme="majorHAnsi" w:cstheme="majorHAnsi"/>
        </w:rPr>
        <w:t xml:space="preserve"> The subparagraph simply “protects whistleblowers from retaliation for making disclosures that are required or protected under any law, rule, or regulation subject to the jurisdiction of the SEC.”</w:t>
      </w:r>
      <w:r w:rsidR="00C834FC" w:rsidRPr="00AE7584">
        <w:rPr>
          <w:rStyle w:val="FootnoteReference"/>
          <w:rFonts w:asciiTheme="majorHAnsi" w:hAnsiTheme="majorHAnsi" w:cstheme="majorHAnsi"/>
        </w:rPr>
        <w:footnoteReference w:id="11"/>
      </w:r>
      <w:r w:rsidR="00B17A8F" w:rsidRPr="00AE7584">
        <w:rPr>
          <w:rFonts w:asciiTheme="majorHAnsi" w:hAnsiTheme="majorHAnsi" w:cstheme="majorHAnsi"/>
        </w:rPr>
        <w:t xml:space="preserve"> The </w:t>
      </w:r>
      <w:r w:rsidR="005C4DF7">
        <w:rPr>
          <w:rFonts w:asciiTheme="majorHAnsi" w:hAnsiTheme="majorHAnsi" w:cstheme="majorHAnsi"/>
        </w:rPr>
        <w:t>Fifth Circuit</w:t>
      </w:r>
      <w:r w:rsidR="00B17A8F" w:rsidRPr="00AE7584">
        <w:rPr>
          <w:rFonts w:asciiTheme="majorHAnsi" w:hAnsiTheme="majorHAnsi" w:cstheme="majorHAnsi"/>
        </w:rPr>
        <w:t xml:space="preserve"> also reasoned that Dodd Frank’s § 21F c</w:t>
      </w:r>
      <w:r w:rsidR="00AB2A05" w:rsidRPr="00AE7584">
        <w:rPr>
          <w:rFonts w:asciiTheme="majorHAnsi" w:hAnsiTheme="majorHAnsi" w:cstheme="majorHAnsi"/>
        </w:rPr>
        <w:t xml:space="preserve">ould not </w:t>
      </w:r>
      <w:r w:rsidR="00B17A8F" w:rsidRPr="00AE7584">
        <w:rPr>
          <w:rFonts w:asciiTheme="majorHAnsi" w:hAnsiTheme="majorHAnsi" w:cstheme="majorHAnsi"/>
        </w:rPr>
        <w:t>incorporate SOX’s protections without rendering SOX’s antiretaliation remedies moot: if both protect the same conduct, aggrieved people will sue solely under Dodd Frank because its remedies are more attractive.</w:t>
      </w:r>
      <w:r w:rsidR="00AB2A05" w:rsidRPr="00AE7584">
        <w:rPr>
          <w:rStyle w:val="FootnoteReference"/>
          <w:rFonts w:asciiTheme="majorHAnsi" w:hAnsiTheme="majorHAnsi" w:cstheme="majorHAnsi"/>
        </w:rPr>
        <w:footnoteReference w:id="12"/>
      </w:r>
    </w:p>
    <w:p w:rsidR="00011BBA" w:rsidRPr="00AE7584" w:rsidRDefault="00891D5E" w:rsidP="00AE7584">
      <w:pPr>
        <w:pStyle w:val="BlockText"/>
        <w:spacing w:before="240" w:after="0"/>
        <w:jc w:val="both"/>
        <w:rPr>
          <w:rFonts w:asciiTheme="majorHAnsi" w:hAnsiTheme="majorHAnsi" w:cstheme="majorHAnsi"/>
        </w:rPr>
      </w:pPr>
      <w:r w:rsidRPr="00AE7584">
        <w:rPr>
          <w:rFonts w:asciiTheme="majorHAnsi" w:hAnsiTheme="majorHAnsi" w:cstheme="majorHAnsi"/>
        </w:rPr>
        <w:t>On the other side of the split are the Second Circuit and, now, the Ninth Circuit.</w:t>
      </w:r>
      <w:r w:rsidR="002557AD" w:rsidRPr="00AE7584">
        <w:rPr>
          <w:rFonts w:asciiTheme="majorHAnsi" w:hAnsiTheme="majorHAnsi" w:cstheme="majorHAnsi"/>
        </w:rPr>
        <w:t xml:space="preserve"> </w:t>
      </w:r>
      <w:r w:rsidR="00C834FC" w:rsidRPr="00AE7584">
        <w:rPr>
          <w:rFonts w:asciiTheme="majorHAnsi" w:hAnsiTheme="majorHAnsi" w:cstheme="majorHAnsi"/>
        </w:rPr>
        <w:t>The Second Circuit observed that</w:t>
      </w:r>
      <w:r w:rsidR="00B17A8F" w:rsidRPr="00AE7584">
        <w:rPr>
          <w:rFonts w:asciiTheme="majorHAnsi" w:hAnsiTheme="majorHAnsi" w:cstheme="majorHAnsi"/>
        </w:rPr>
        <w:t xml:space="preserve"> § </w:t>
      </w:r>
      <w:r w:rsidR="00011BBA" w:rsidRPr="00AE7584">
        <w:rPr>
          <w:rFonts w:asciiTheme="majorHAnsi" w:hAnsiTheme="majorHAnsi" w:cstheme="majorHAnsi"/>
        </w:rPr>
        <w:t>21F</w:t>
      </w:r>
      <w:r w:rsidR="002557AD" w:rsidRPr="00AE7584">
        <w:rPr>
          <w:rFonts w:asciiTheme="majorHAnsi" w:hAnsiTheme="majorHAnsi" w:cstheme="majorHAnsi"/>
        </w:rPr>
        <w:t>’s provisions are</w:t>
      </w:r>
      <w:r w:rsidR="00011BBA" w:rsidRPr="00AE7584">
        <w:rPr>
          <w:rFonts w:asciiTheme="majorHAnsi" w:hAnsiTheme="majorHAnsi" w:cstheme="majorHAnsi"/>
        </w:rPr>
        <w:t xml:space="preserve"> </w:t>
      </w:r>
      <w:r w:rsidR="00C834FC" w:rsidRPr="00AE7584">
        <w:rPr>
          <w:rFonts w:asciiTheme="majorHAnsi" w:hAnsiTheme="majorHAnsi" w:cstheme="majorHAnsi"/>
        </w:rPr>
        <w:t>“in tension” because requiring a whistleblower to report to t</w:t>
      </w:r>
      <w:r w:rsidR="00CA06AC" w:rsidRPr="00AE7584">
        <w:rPr>
          <w:rFonts w:asciiTheme="majorHAnsi" w:hAnsiTheme="majorHAnsi" w:cstheme="majorHAnsi"/>
        </w:rPr>
        <w:t>he SEC would leave clause </w:t>
      </w:r>
      <w:r w:rsidR="00C834FC" w:rsidRPr="00AE7584">
        <w:rPr>
          <w:rFonts w:asciiTheme="majorHAnsi" w:hAnsiTheme="majorHAnsi" w:cstheme="majorHAnsi"/>
        </w:rPr>
        <w:t xml:space="preserve">(iii) </w:t>
      </w:r>
      <w:r w:rsidR="00CA06AC" w:rsidRPr="00AE7584">
        <w:rPr>
          <w:rFonts w:asciiTheme="majorHAnsi" w:hAnsiTheme="majorHAnsi" w:cstheme="majorHAnsi"/>
        </w:rPr>
        <w:t>“</w:t>
      </w:r>
      <w:r w:rsidR="00C834FC" w:rsidRPr="00AE7584">
        <w:rPr>
          <w:rFonts w:asciiTheme="majorHAnsi" w:hAnsiTheme="majorHAnsi" w:cstheme="majorHAnsi"/>
        </w:rPr>
        <w:t>with a</w:t>
      </w:r>
      <w:r w:rsidR="00CA06AC" w:rsidRPr="00AE7584">
        <w:rPr>
          <w:rFonts w:asciiTheme="majorHAnsi" w:hAnsiTheme="majorHAnsi" w:cstheme="majorHAnsi"/>
        </w:rPr>
        <w:t>n extremely limited scope”</w:t>
      </w:r>
      <w:r w:rsidR="00CA06AC" w:rsidRPr="00AE7584">
        <w:rPr>
          <w:rStyle w:val="FootnoteReference"/>
          <w:rFonts w:asciiTheme="majorHAnsi" w:hAnsiTheme="majorHAnsi" w:cstheme="majorHAnsi"/>
        </w:rPr>
        <w:footnoteReference w:id="13"/>
      </w:r>
      <w:r w:rsidR="00CA06AC" w:rsidRPr="00AE7584">
        <w:rPr>
          <w:rFonts w:asciiTheme="majorHAnsi" w:hAnsiTheme="majorHAnsi" w:cstheme="majorHAnsi"/>
        </w:rPr>
        <w:t xml:space="preserve"> Most people will report internally first, rather than go directly or simultaneously to the SEC.</w:t>
      </w:r>
      <w:r w:rsidR="00CA06AC" w:rsidRPr="00AE7584">
        <w:rPr>
          <w:rStyle w:val="FootnoteReference"/>
          <w:rFonts w:asciiTheme="majorHAnsi" w:hAnsiTheme="majorHAnsi" w:cstheme="majorHAnsi"/>
        </w:rPr>
        <w:footnoteReference w:id="14"/>
      </w:r>
      <w:r w:rsidR="00CA06AC" w:rsidRPr="00AE7584">
        <w:rPr>
          <w:rFonts w:asciiTheme="majorHAnsi" w:hAnsiTheme="majorHAnsi" w:cstheme="majorHAnsi"/>
        </w:rPr>
        <w:t xml:space="preserve"> And auditors and attorneys must report internally first.</w:t>
      </w:r>
      <w:r w:rsidR="00CA06AC" w:rsidRPr="00AE7584">
        <w:rPr>
          <w:rStyle w:val="FootnoteReference"/>
          <w:rFonts w:asciiTheme="majorHAnsi" w:hAnsiTheme="majorHAnsi" w:cstheme="majorHAnsi"/>
        </w:rPr>
        <w:footnoteReference w:id="15"/>
      </w:r>
      <w:r w:rsidR="00CA06AC" w:rsidRPr="00AE7584">
        <w:rPr>
          <w:rFonts w:asciiTheme="majorHAnsi" w:hAnsiTheme="majorHAnsi" w:cstheme="majorHAnsi"/>
        </w:rPr>
        <w:t xml:space="preserve"> That result seemed at odds with Congress’s “last-minute insertion of [clause] (iii)” and rendered § 21F “as a whole sufficiently ambiguous” to warrant </w:t>
      </w:r>
      <w:r w:rsidR="00CA06AC" w:rsidRPr="00AE7584">
        <w:rPr>
          <w:rFonts w:asciiTheme="majorHAnsi" w:hAnsiTheme="majorHAnsi" w:cstheme="majorHAnsi"/>
          <w:i/>
        </w:rPr>
        <w:t xml:space="preserve">Chevron </w:t>
      </w:r>
      <w:r w:rsidR="00CA06AC" w:rsidRPr="00AE7584">
        <w:rPr>
          <w:rFonts w:asciiTheme="majorHAnsi" w:hAnsiTheme="majorHAnsi" w:cstheme="majorHAnsi"/>
        </w:rPr>
        <w:t>deference to the SEC’s rule.</w:t>
      </w:r>
      <w:r w:rsidR="00CA06AC" w:rsidRPr="00AE7584">
        <w:rPr>
          <w:rStyle w:val="FootnoteReference"/>
          <w:rFonts w:asciiTheme="majorHAnsi" w:hAnsiTheme="majorHAnsi" w:cstheme="majorHAnsi"/>
        </w:rPr>
        <w:footnoteReference w:id="16"/>
      </w:r>
      <w:r w:rsidR="00B17A8F" w:rsidRPr="00AE7584">
        <w:rPr>
          <w:rFonts w:asciiTheme="majorHAnsi" w:hAnsiTheme="majorHAnsi" w:cstheme="majorHAnsi"/>
        </w:rPr>
        <w:t xml:space="preserve"> </w:t>
      </w:r>
      <w:r w:rsidR="00011BBA" w:rsidRPr="00AE7584">
        <w:rPr>
          <w:rFonts w:asciiTheme="majorHAnsi" w:hAnsiTheme="majorHAnsi" w:cstheme="majorHAnsi"/>
        </w:rPr>
        <w:t xml:space="preserve">Judge Jacobs </w:t>
      </w:r>
      <w:r w:rsidR="00B17A8F" w:rsidRPr="00AE7584">
        <w:rPr>
          <w:rFonts w:asciiTheme="majorHAnsi" w:hAnsiTheme="majorHAnsi" w:cstheme="majorHAnsi"/>
        </w:rPr>
        <w:t>dissented,</w:t>
      </w:r>
      <w:r w:rsidR="00011BBA" w:rsidRPr="00AE7584">
        <w:rPr>
          <w:rFonts w:asciiTheme="majorHAnsi" w:hAnsiTheme="majorHAnsi" w:cstheme="majorHAnsi"/>
        </w:rPr>
        <w:t xml:space="preserve"> agreeing with the Fifth Circuit that the statute is unambiguous.</w:t>
      </w:r>
      <w:r w:rsidR="00011BBA" w:rsidRPr="00AE7584">
        <w:rPr>
          <w:rStyle w:val="FootnoteReference"/>
          <w:rFonts w:asciiTheme="majorHAnsi" w:hAnsiTheme="majorHAnsi" w:cstheme="majorHAnsi"/>
        </w:rPr>
        <w:footnoteReference w:id="17"/>
      </w:r>
    </w:p>
    <w:p w:rsidR="00C834FC" w:rsidRPr="00AE7584" w:rsidRDefault="00CA06AC" w:rsidP="00AE7584">
      <w:pPr>
        <w:pStyle w:val="BlockText"/>
        <w:spacing w:before="240" w:after="0"/>
        <w:jc w:val="both"/>
        <w:rPr>
          <w:rFonts w:asciiTheme="majorHAnsi" w:hAnsiTheme="majorHAnsi" w:cstheme="majorHAnsi"/>
        </w:rPr>
      </w:pPr>
      <w:r w:rsidRPr="00AE7584">
        <w:rPr>
          <w:rFonts w:asciiTheme="majorHAnsi" w:hAnsiTheme="majorHAnsi" w:cstheme="majorHAnsi"/>
        </w:rPr>
        <w:t>The Ninth Circuit’s decision is discussed next.</w:t>
      </w:r>
    </w:p>
    <w:p w:rsidR="00C00ABF" w:rsidRPr="00AE7584" w:rsidRDefault="00C00ABF" w:rsidP="00AE7584">
      <w:pPr>
        <w:pStyle w:val="BlockText"/>
        <w:keepNext/>
        <w:spacing w:before="240" w:after="0"/>
        <w:ind w:firstLine="720"/>
        <w:rPr>
          <w:rFonts w:asciiTheme="majorHAnsi" w:hAnsiTheme="majorHAnsi" w:cstheme="majorHAnsi"/>
          <w:b/>
        </w:rPr>
      </w:pPr>
      <w:r w:rsidRPr="00AE7584">
        <w:rPr>
          <w:rFonts w:asciiTheme="majorHAnsi" w:hAnsiTheme="majorHAnsi" w:cstheme="majorHAnsi"/>
          <w:b/>
        </w:rPr>
        <w:t>4. Procedural history.</w:t>
      </w:r>
    </w:p>
    <w:p w:rsidR="00CA06AC" w:rsidRPr="00AE7584" w:rsidRDefault="00CA06AC" w:rsidP="00AE7584">
      <w:pPr>
        <w:pStyle w:val="BlockText"/>
        <w:spacing w:before="240" w:after="0"/>
        <w:jc w:val="both"/>
        <w:rPr>
          <w:rFonts w:asciiTheme="majorHAnsi" w:hAnsiTheme="majorHAnsi" w:cstheme="majorHAnsi"/>
        </w:rPr>
      </w:pPr>
      <w:r w:rsidRPr="00AE7584">
        <w:rPr>
          <w:rFonts w:asciiTheme="majorHAnsi" w:hAnsiTheme="majorHAnsi" w:cstheme="majorHAnsi"/>
        </w:rPr>
        <w:t>Paul Somers was a vice president of Digital Realty Trust.</w:t>
      </w:r>
      <w:r w:rsidRPr="00AE7584">
        <w:rPr>
          <w:rStyle w:val="FootnoteReference"/>
          <w:rFonts w:asciiTheme="majorHAnsi" w:hAnsiTheme="majorHAnsi" w:cstheme="majorHAnsi"/>
        </w:rPr>
        <w:footnoteReference w:id="18"/>
      </w:r>
      <w:r w:rsidRPr="00AE7584">
        <w:rPr>
          <w:rFonts w:asciiTheme="majorHAnsi" w:hAnsiTheme="majorHAnsi" w:cstheme="majorHAnsi"/>
        </w:rPr>
        <w:t xml:space="preserve"> He allegedly told his former employer about potential securities violations and was fired for it.</w:t>
      </w:r>
      <w:r w:rsidRPr="00AE7584">
        <w:rPr>
          <w:rStyle w:val="FootnoteReference"/>
          <w:rFonts w:asciiTheme="majorHAnsi" w:hAnsiTheme="majorHAnsi" w:cstheme="majorHAnsi"/>
        </w:rPr>
        <w:footnoteReference w:id="19"/>
      </w:r>
      <w:r w:rsidRPr="00AE7584">
        <w:rPr>
          <w:rFonts w:asciiTheme="majorHAnsi" w:hAnsiTheme="majorHAnsi" w:cstheme="majorHAnsi"/>
        </w:rPr>
        <w:t xml:space="preserve"> He sued for retaliation in the </w:t>
      </w:r>
      <w:r w:rsidR="005C4DF7">
        <w:rPr>
          <w:rFonts w:asciiTheme="majorHAnsi" w:hAnsiTheme="majorHAnsi" w:cstheme="majorHAnsi"/>
        </w:rPr>
        <w:t>Northern District of California</w:t>
      </w:r>
      <w:r w:rsidRPr="00AE7584">
        <w:rPr>
          <w:rFonts w:asciiTheme="majorHAnsi" w:hAnsiTheme="majorHAnsi" w:cstheme="majorHAnsi"/>
        </w:rPr>
        <w:t xml:space="preserve"> under the theory that he was a whistleblower entitled to protection under Dodd-Frank even though he had not reported his concerns to the SEC.</w:t>
      </w:r>
      <w:r w:rsidRPr="00AE7584">
        <w:rPr>
          <w:rStyle w:val="FootnoteReference"/>
          <w:rFonts w:asciiTheme="majorHAnsi" w:hAnsiTheme="majorHAnsi" w:cstheme="majorHAnsi"/>
        </w:rPr>
        <w:footnoteReference w:id="20"/>
      </w:r>
    </w:p>
    <w:p w:rsidR="00CA06AC" w:rsidRPr="00AE7584" w:rsidRDefault="00995E12" w:rsidP="00AE7584">
      <w:pPr>
        <w:pStyle w:val="BlockText"/>
        <w:spacing w:before="240" w:after="0"/>
        <w:jc w:val="both"/>
        <w:rPr>
          <w:rFonts w:asciiTheme="majorHAnsi" w:hAnsiTheme="majorHAnsi" w:cstheme="majorHAnsi"/>
        </w:rPr>
      </w:pPr>
      <w:r w:rsidRPr="00AE7584">
        <w:rPr>
          <w:rFonts w:asciiTheme="majorHAnsi" w:hAnsiTheme="majorHAnsi" w:cstheme="majorHAnsi"/>
        </w:rPr>
        <w:t>The district court agreed. Judge Edward Chen wrote a lengthy opinion denying the defendants’ motion to dismiss Somers’ Dodd-Frank retaliation claim.</w:t>
      </w:r>
      <w:r w:rsidRPr="00AE7584">
        <w:rPr>
          <w:rStyle w:val="FootnoteReference"/>
          <w:rFonts w:asciiTheme="majorHAnsi" w:hAnsiTheme="majorHAnsi" w:cstheme="majorHAnsi"/>
        </w:rPr>
        <w:footnoteReference w:id="21"/>
      </w:r>
      <w:r w:rsidRPr="00AE7584">
        <w:rPr>
          <w:rFonts w:asciiTheme="majorHAnsi" w:hAnsiTheme="majorHAnsi" w:cstheme="majorHAnsi"/>
        </w:rPr>
        <w:t xml:space="preserve"> </w:t>
      </w:r>
      <w:r w:rsidR="005C4DF7">
        <w:rPr>
          <w:rFonts w:asciiTheme="majorHAnsi" w:hAnsiTheme="majorHAnsi" w:cstheme="majorHAnsi"/>
        </w:rPr>
        <w:t>On an</w:t>
      </w:r>
      <w:r w:rsidRPr="00AE7584">
        <w:rPr>
          <w:rFonts w:asciiTheme="majorHAnsi" w:hAnsiTheme="majorHAnsi" w:cstheme="majorHAnsi"/>
        </w:rPr>
        <w:t xml:space="preserve"> interlocutory appeal</w:t>
      </w:r>
      <w:r w:rsidR="005C4DF7">
        <w:rPr>
          <w:rFonts w:asciiTheme="majorHAnsi" w:hAnsiTheme="majorHAnsi" w:cstheme="majorHAnsi"/>
        </w:rPr>
        <w:t xml:space="preserve"> of that decision, the Ninth Circuit affirmed</w:t>
      </w:r>
      <w:r w:rsidRPr="00AE7584">
        <w:rPr>
          <w:rFonts w:asciiTheme="majorHAnsi" w:hAnsiTheme="majorHAnsi" w:cstheme="majorHAnsi"/>
        </w:rPr>
        <w:t>.</w:t>
      </w:r>
      <w:r w:rsidRPr="00AE7584">
        <w:rPr>
          <w:rStyle w:val="FootnoteReference"/>
          <w:rFonts w:asciiTheme="majorHAnsi" w:hAnsiTheme="majorHAnsi" w:cstheme="majorHAnsi"/>
        </w:rPr>
        <w:footnoteReference w:id="22"/>
      </w:r>
    </w:p>
    <w:p w:rsidR="00842AE7" w:rsidRPr="00AE7584" w:rsidRDefault="00995E12" w:rsidP="00AE7584">
      <w:pPr>
        <w:pStyle w:val="BlockText"/>
        <w:spacing w:before="240" w:after="0"/>
        <w:jc w:val="both"/>
        <w:rPr>
          <w:rFonts w:asciiTheme="majorHAnsi" w:hAnsiTheme="majorHAnsi" w:cstheme="majorHAnsi"/>
        </w:rPr>
      </w:pPr>
      <w:r w:rsidRPr="00AE7584">
        <w:rPr>
          <w:rFonts w:asciiTheme="majorHAnsi" w:hAnsiTheme="majorHAnsi" w:cstheme="majorHAnsi"/>
        </w:rPr>
        <w:t xml:space="preserve">The Ninth Circuit’s analysis was similar to the Second Circuit’s. The Ninth Circuit noted that </w:t>
      </w:r>
      <w:r w:rsidR="00515BBA" w:rsidRPr="00AE7584">
        <w:rPr>
          <w:rFonts w:asciiTheme="majorHAnsi" w:hAnsiTheme="majorHAnsi" w:cstheme="majorHAnsi"/>
        </w:rPr>
        <w:t xml:space="preserve">Dodd-Frank would leave whistleblowers little protection if they had to report to the SEC first or simultaneously, and </w:t>
      </w:r>
      <w:r w:rsidR="005C4DF7">
        <w:rPr>
          <w:rFonts w:asciiTheme="majorHAnsi" w:hAnsiTheme="majorHAnsi" w:cstheme="majorHAnsi"/>
        </w:rPr>
        <w:t xml:space="preserve">would leave </w:t>
      </w:r>
      <w:r w:rsidR="00515BBA" w:rsidRPr="00AE7584">
        <w:rPr>
          <w:rFonts w:asciiTheme="majorHAnsi" w:hAnsiTheme="majorHAnsi" w:cstheme="majorHAnsi"/>
        </w:rPr>
        <w:t>virtually no protection for auditors or attorneys.</w:t>
      </w:r>
      <w:r w:rsidR="00515BBA" w:rsidRPr="00AE7584">
        <w:rPr>
          <w:rStyle w:val="FootnoteReference"/>
          <w:rFonts w:asciiTheme="majorHAnsi" w:hAnsiTheme="majorHAnsi" w:cstheme="majorHAnsi"/>
        </w:rPr>
        <w:footnoteReference w:id="23"/>
      </w:r>
      <w:r w:rsidR="00515BBA" w:rsidRPr="00AE7584">
        <w:rPr>
          <w:rFonts w:asciiTheme="majorHAnsi" w:hAnsiTheme="majorHAnsi" w:cstheme="majorHAnsi"/>
        </w:rPr>
        <w:t xml:space="preserve"> “Leaving employees without protection for that required preliminary step [of reporting internally] would result in early retaliation before the information could reach the regulators.”</w:t>
      </w:r>
      <w:r w:rsidR="00515BBA" w:rsidRPr="00AE7584">
        <w:rPr>
          <w:rStyle w:val="FootnoteReference"/>
          <w:rFonts w:asciiTheme="majorHAnsi" w:hAnsiTheme="majorHAnsi" w:cstheme="majorHAnsi"/>
        </w:rPr>
        <w:footnoteReference w:id="24"/>
      </w:r>
      <w:r w:rsidR="00515BBA" w:rsidRPr="00AE7584">
        <w:rPr>
          <w:rFonts w:asciiTheme="majorHAnsi" w:hAnsiTheme="majorHAnsi" w:cstheme="majorHAnsi"/>
        </w:rPr>
        <w:t xml:space="preserve"> </w:t>
      </w:r>
      <w:r w:rsidR="00B17A8F" w:rsidRPr="00AE7584">
        <w:rPr>
          <w:rFonts w:asciiTheme="majorHAnsi" w:hAnsiTheme="majorHAnsi" w:cstheme="majorHAnsi"/>
        </w:rPr>
        <w:t xml:space="preserve">As for the plain text of the statute, the court relied on </w:t>
      </w:r>
      <w:r w:rsidR="00B17A8F" w:rsidRPr="00AE7584">
        <w:rPr>
          <w:rFonts w:asciiTheme="majorHAnsi" w:hAnsiTheme="majorHAnsi" w:cstheme="majorHAnsi"/>
          <w:i/>
        </w:rPr>
        <w:t xml:space="preserve">King </w:t>
      </w:r>
      <w:r w:rsidR="00B17A8F" w:rsidRPr="00AE7584">
        <w:rPr>
          <w:rFonts w:asciiTheme="majorHAnsi" w:hAnsiTheme="majorHAnsi" w:cstheme="majorHAnsi"/>
        </w:rPr>
        <w:t>for the proposition that “[t]he use of a term in one part of a statute ‘may mean a different thing’ in a different part, depending on context.”</w:t>
      </w:r>
      <w:r w:rsidR="00B17A8F" w:rsidRPr="00AE7584">
        <w:rPr>
          <w:rStyle w:val="FootnoteReference"/>
          <w:rFonts w:asciiTheme="majorHAnsi" w:hAnsiTheme="majorHAnsi" w:cstheme="majorHAnsi"/>
        </w:rPr>
        <w:footnoteReference w:id="25"/>
      </w:r>
      <w:r w:rsidR="00B17A8F" w:rsidRPr="00AE7584">
        <w:rPr>
          <w:rFonts w:asciiTheme="majorHAnsi" w:hAnsiTheme="majorHAnsi" w:cstheme="majorHAnsi"/>
        </w:rPr>
        <w:t xml:space="preserve"> And definitions are “just one indication of meaning.”</w:t>
      </w:r>
      <w:r w:rsidR="00B17A8F" w:rsidRPr="00AE7584">
        <w:rPr>
          <w:rStyle w:val="FootnoteReference"/>
          <w:rFonts w:asciiTheme="majorHAnsi" w:hAnsiTheme="majorHAnsi" w:cstheme="majorHAnsi"/>
        </w:rPr>
        <w:footnoteReference w:id="26"/>
      </w:r>
      <w:r w:rsidR="005C4DF7">
        <w:rPr>
          <w:rFonts w:asciiTheme="majorHAnsi" w:hAnsiTheme="majorHAnsi" w:cstheme="majorHAnsi"/>
        </w:rPr>
        <w:t xml:space="preserve"> Finally the Ninth Circuit</w:t>
      </w:r>
      <w:r w:rsidR="00B17A8F" w:rsidRPr="00AE7584">
        <w:rPr>
          <w:rFonts w:asciiTheme="majorHAnsi" w:hAnsiTheme="majorHAnsi" w:cstheme="majorHAnsi"/>
        </w:rPr>
        <w:t xml:space="preserve"> respond</w:t>
      </w:r>
      <w:r w:rsidR="00AB2A05" w:rsidRPr="00AE7584">
        <w:rPr>
          <w:rFonts w:asciiTheme="majorHAnsi" w:hAnsiTheme="majorHAnsi" w:cstheme="majorHAnsi"/>
        </w:rPr>
        <w:t>ed</w:t>
      </w:r>
      <w:r w:rsidR="00B17A8F" w:rsidRPr="00AE7584">
        <w:rPr>
          <w:rFonts w:asciiTheme="majorHAnsi" w:hAnsiTheme="majorHAnsi" w:cstheme="majorHAnsi"/>
        </w:rPr>
        <w:t xml:space="preserve"> </w:t>
      </w:r>
      <w:r w:rsidR="00AB2A05" w:rsidRPr="00AE7584">
        <w:rPr>
          <w:rFonts w:asciiTheme="majorHAnsi" w:hAnsiTheme="majorHAnsi" w:cstheme="majorHAnsi"/>
        </w:rPr>
        <w:t>to the Fifth Circuit’s concerns about Dodd-Frank swallowing SOX’s anti-retaliation provisions. The court stated that Dodd-Frank’s remedial scheme is not always better than SOX’s. Dodd-Frank offer</w:t>
      </w:r>
      <w:r w:rsidR="005C4DF7">
        <w:rPr>
          <w:rFonts w:asciiTheme="majorHAnsi" w:hAnsiTheme="majorHAnsi" w:cstheme="majorHAnsi"/>
        </w:rPr>
        <w:t>s double back-pay damages, but</w:t>
      </w:r>
      <w:r w:rsidR="00AB2A05" w:rsidRPr="00AE7584">
        <w:rPr>
          <w:rFonts w:asciiTheme="majorHAnsi" w:hAnsiTheme="majorHAnsi" w:cstheme="majorHAnsi"/>
        </w:rPr>
        <w:t xml:space="preserve"> SOX offers single back-pay </w:t>
      </w:r>
      <w:r w:rsidR="00AB2A05" w:rsidRPr="00AE7584">
        <w:rPr>
          <w:rFonts w:asciiTheme="majorHAnsi" w:hAnsiTheme="majorHAnsi" w:cstheme="majorHAnsi"/>
          <w:i/>
        </w:rPr>
        <w:t xml:space="preserve">and </w:t>
      </w:r>
      <w:r w:rsidR="00AB2A05" w:rsidRPr="00AE7584">
        <w:rPr>
          <w:rFonts w:asciiTheme="majorHAnsi" w:hAnsiTheme="majorHAnsi" w:cstheme="majorHAnsi"/>
        </w:rPr>
        <w:t>tort damages; Dodd-Frank allows plaintiffs to file in federal court, while SOX requires plaintiffs to turn over their claims to the Department of Labor—but that is a cheaper and simpler mechanism that some plaintiffs might prefer.</w:t>
      </w:r>
      <w:r w:rsidR="00AB2A05" w:rsidRPr="00AE7584">
        <w:rPr>
          <w:rStyle w:val="FootnoteReference"/>
          <w:rFonts w:asciiTheme="majorHAnsi" w:hAnsiTheme="majorHAnsi" w:cstheme="majorHAnsi"/>
        </w:rPr>
        <w:footnoteReference w:id="27"/>
      </w:r>
      <w:r w:rsidR="00AB2A05" w:rsidRPr="00AE7584">
        <w:rPr>
          <w:rFonts w:asciiTheme="majorHAnsi" w:hAnsiTheme="majorHAnsi" w:cstheme="majorHAnsi"/>
        </w:rPr>
        <w:t xml:space="preserve"> Thus, the court held, § 21F is ambiguous and the SEC’s rules interpreting it were owed deference.</w:t>
      </w:r>
      <w:r w:rsidR="00AB2A05" w:rsidRPr="00AE7584">
        <w:rPr>
          <w:rStyle w:val="FootnoteReference"/>
          <w:rFonts w:asciiTheme="majorHAnsi" w:hAnsiTheme="majorHAnsi" w:cstheme="majorHAnsi"/>
        </w:rPr>
        <w:footnoteReference w:id="28"/>
      </w:r>
    </w:p>
    <w:p w:rsidR="00842AE7" w:rsidRPr="00AE7584" w:rsidRDefault="00842AE7" w:rsidP="00AE7584">
      <w:pPr>
        <w:pStyle w:val="BlockText"/>
        <w:spacing w:before="240" w:after="0"/>
        <w:jc w:val="both"/>
        <w:rPr>
          <w:rFonts w:asciiTheme="majorHAnsi" w:hAnsiTheme="majorHAnsi" w:cstheme="majorHAnsi"/>
        </w:rPr>
      </w:pPr>
      <w:r w:rsidRPr="00AE7584">
        <w:rPr>
          <w:rFonts w:asciiTheme="majorHAnsi" w:hAnsiTheme="majorHAnsi" w:cstheme="majorHAnsi"/>
        </w:rPr>
        <w:t>Judge Owens dissented, citing the Fifth Circuit’s opinion and Judge Jacobs’ dissent in the Second Circuit.</w:t>
      </w:r>
      <w:r w:rsidRPr="00AE7584">
        <w:rPr>
          <w:rStyle w:val="FootnoteReference"/>
          <w:rFonts w:asciiTheme="majorHAnsi" w:hAnsiTheme="majorHAnsi" w:cstheme="majorHAnsi"/>
        </w:rPr>
        <w:footnoteReference w:id="29"/>
      </w:r>
      <w:r w:rsidRPr="00AE7584">
        <w:rPr>
          <w:rFonts w:asciiTheme="majorHAnsi" w:hAnsiTheme="majorHAnsi" w:cstheme="majorHAnsi"/>
        </w:rPr>
        <w:t xml:space="preserve"> He worried in particular about the majority’s reliance on </w:t>
      </w:r>
      <w:r w:rsidRPr="00AE7584">
        <w:rPr>
          <w:rFonts w:asciiTheme="majorHAnsi" w:hAnsiTheme="majorHAnsi" w:cstheme="majorHAnsi"/>
          <w:i/>
        </w:rPr>
        <w:t>King</w:t>
      </w:r>
      <w:r w:rsidRPr="00AE7584">
        <w:rPr>
          <w:rFonts w:asciiTheme="majorHAnsi" w:hAnsiTheme="majorHAnsi" w:cstheme="majorHAnsi"/>
        </w:rPr>
        <w:t>, citing</w:t>
      </w:r>
      <w:r w:rsidR="00364C41" w:rsidRPr="00AE7584">
        <w:rPr>
          <w:rFonts w:asciiTheme="majorHAnsi" w:hAnsiTheme="majorHAnsi" w:cstheme="majorHAnsi"/>
        </w:rPr>
        <w:t xml:space="preserve"> </w:t>
      </w:r>
      <w:r w:rsidRPr="00AE7584">
        <w:rPr>
          <w:rFonts w:asciiTheme="majorHAnsi" w:hAnsiTheme="majorHAnsi" w:cstheme="majorHAnsi"/>
        </w:rPr>
        <w:t xml:space="preserve">colorful authority in response: “[W]e should quarantine </w:t>
      </w:r>
      <w:r w:rsidRPr="00AE7584">
        <w:rPr>
          <w:rFonts w:asciiTheme="majorHAnsi" w:hAnsiTheme="majorHAnsi" w:cstheme="majorHAnsi"/>
          <w:i/>
        </w:rPr>
        <w:t>King</w:t>
      </w:r>
      <w:r w:rsidRPr="00AE7584">
        <w:rPr>
          <w:rFonts w:asciiTheme="majorHAnsi" w:hAnsiTheme="majorHAnsi" w:cstheme="majorHAnsi"/>
        </w:rPr>
        <w:t xml:space="preserve"> and its potentially dangerous shapeshifting nature to the specific facts of that case to avoid jurisprudential disruption on a cellular level. </w:t>
      </w:r>
      <w:r w:rsidRPr="00AE7584">
        <w:rPr>
          <w:rFonts w:asciiTheme="majorHAnsi" w:hAnsiTheme="majorHAnsi" w:cstheme="majorHAnsi"/>
          <w:i/>
        </w:rPr>
        <w:t>Cf. John Carpenter's The Thing</w:t>
      </w:r>
      <w:r w:rsidRPr="00AE7584">
        <w:rPr>
          <w:rFonts w:asciiTheme="majorHAnsi" w:hAnsiTheme="majorHAnsi" w:cstheme="majorHAnsi"/>
        </w:rPr>
        <w:t xml:space="preserve"> (Universal Pictures 1982).”</w:t>
      </w:r>
      <w:r w:rsidRPr="00AE7584">
        <w:rPr>
          <w:rStyle w:val="FootnoteReference"/>
          <w:rFonts w:asciiTheme="majorHAnsi" w:hAnsiTheme="majorHAnsi" w:cstheme="majorHAnsi"/>
        </w:rPr>
        <w:footnoteReference w:id="30"/>
      </w:r>
    </w:p>
    <w:p w:rsidR="00C00ABF" w:rsidRPr="00AE7584" w:rsidRDefault="00C00ABF" w:rsidP="00AE7584">
      <w:pPr>
        <w:pStyle w:val="BlockText"/>
        <w:keepNext/>
        <w:spacing w:before="240" w:after="0"/>
        <w:rPr>
          <w:rFonts w:asciiTheme="majorHAnsi" w:hAnsiTheme="majorHAnsi" w:cstheme="majorHAnsi"/>
          <w:b/>
        </w:rPr>
      </w:pPr>
      <w:r w:rsidRPr="00AE7584">
        <w:rPr>
          <w:rFonts w:asciiTheme="majorHAnsi" w:hAnsiTheme="majorHAnsi" w:cstheme="majorHAnsi"/>
          <w:b/>
        </w:rPr>
        <w:t>5. Arguments.</w:t>
      </w:r>
    </w:p>
    <w:p w:rsidR="00001AD5" w:rsidRPr="00AE7584" w:rsidRDefault="00842AE7" w:rsidP="005C4DF7">
      <w:pPr>
        <w:pStyle w:val="BlockText"/>
        <w:spacing w:before="240" w:after="0"/>
        <w:jc w:val="both"/>
        <w:rPr>
          <w:rFonts w:asciiTheme="majorHAnsi" w:hAnsiTheme="majorHAnsi" w:cstheme="majorHAnsi"/>
          <w:b/>
        </w:rPr>
      </w:pPr>
      <w:r w:rsidRPr="00AE7584">
        <w:rPr>
          <w:rFonts w:asciiTheme="majorHAnsi" w:hAnsiTheme="majorHAnsi" w:cstheme="majorHAnsi"/>
          <w:b/>
        </w:rPr>
        <w:t>Petitioner Digital Realty Trust, Inc.</w:t>
      </w:r>
    </w:p>
    <w:p w:rsidR="00364C41" w:rsidRPr="00AE7584" w:rsidRDefault="00364C41" w:rsidP="00AE7584">
      <w:pPr>
        <w:pStyle w:val="BlockText"/>
        <w:spacing w:before="240"/>
        <w:jc w:val="both"/>
        <w:rPr>
          <w:rFonts w:asciiTheme="majorHAnsi" w:hAnsiTheme="majorHAnsi" w:cstheme="majorHAnsi"/>
        </w:rPr>
      </w:pPr>
      <w:r w:rsidRPr="00AE7584">
        <w:rPr>
          <w:rFonts w:asciiTheme="majorHAnsi" w:hAnsiTheme="majorHAnsi" w:cstheme="majorHAnsi"/>
        </w:rPr>
        <w:t xml:space="preserve">Digital Realty’s argument follows the standard four-part </w:t>
      </w:r>
      <w:r w:rsidR="000B1846" w:rsidRPr="00AE7584">
        <w:rPr>
          <w:rFonts w:asciiTheme="majorHAnsi" w:hAnsiTheme="majorHAnsi" w:cstheme="majorHAnsi"/>
        </w:rPr>
        <w:t>outline typically used for</w:t>
      </w:r>
      <w:r w:rsidRPr="00AE7584">
        <w:rPr>
          <w:rFonts w:asciiTheme="majorHAnsi" w:hAnsiTheme="majorHAnsi" w:cstheme="majorHAnsi"/>
        </w:rPr>
        <w:t xml:space="preserve"> questions of statutory interpretation: </w:t>
      </w:r>
      <w:r w:rsidR="000B1846" w:rsidRPr="00AE7584">
        <w:rPr>
          <w:rFonts w:asciiTheme="majorHAnsi" w:hAnsiTheme="majorHAnsi" w:cstheme="majorHAnsi"/>
        </w:rPr>
        <w:t>(1) the plain meaning of the text; (2)</w:t>
      </w:r>
      <w:r w:rsidRPr="00AE7584">
        <w:rPr>
          <w:rFonts w:asciiTheme="majorHAnsi" w:hAnsiTheme="majorHAnsi" w:cstheme="majorHAnsi"/>
        </w:rPr>
        <w:t xml:space="preserve"> the s</w:t>
      </w:r>
      <w:r w:rsidR="000B1846" w:rsidRPr="00AE7584">
        <w:rPr>
          <w:rFonts w:asciiTheme="majorHAnsi" w:hAnsiTheme="majorHAnsi" w:cstheme="majorHAnsi"/>
        </w:rPr>
        <w:t>tructure of the statute; (3) legislative history; and (4) congressional purpose.</w:t>
      </w:r>
      <w:r w:rsidR="000B1846" w:rsidRPr="00AE7584">
        <w:rPr>
          <w:rStyle w:val="FootnoteReference"/>
          <w:rFonts w:asciiTheme="majorHAnsi" w:hAnsiTheme="majorHAnsi" w:cstheme="majorHAnsi"/>
        </w:rPr>
        <w:footnoteReference w:id="31"/>
      </w:r>
    </w:p>
    <w:p w:rsidR="001C0A50" w:rsidRPr="00AE7584" w:rsidRDefault="000B1846"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1. </w:t>
      </w:r>
      <w:r w:rsidRPr="00AE7584">
        <w:rPr>
          <w:rFonts w:asciiTheme="majorHAnsi" w:hAnsiTheme="majorHAnsi" w:cstheme="majorHAnsi"/>
        </w:rPr>
        <w:t xml:space="preserve">Digital Realty’s plain-meaning argument </w:t>
      </w:r>
      <w:r w:rsidR="00364C41" w:rsidRPr="00AE7584">
        <w:rPr>
          <w:rFonts w:asciiTheme="majorHAnsi" w:hAnsiTheme="majorHAnsi" w:cstheme="majorHAnsi"/>
        </w:rPr>
        <w:t>is straightforward. “[W]here a statute includes an express definition of a term, courts and agencies may not invent a different definition. In adopting a definition of ‘whistleblower’ that is more expansive than the one Congress actually provided in the Dodd-Frank Act, the Ninth Circuit and the SEC violated that unimpeachable principle.”</w:t>
      </w:r>
      <w:r w:rsidR="00364C41" w:rsidRPr="00AE7584">
        <w:rPr>
          <w:rStyle w:val="FootnoteReference"/>
          <w:rFonts w:asciiTheme="majorHAnsi" w:hAnsiTheme="majorHAnsi" w:cstheme="majorHAnsi"/>
        </w:rPr>
        <w:footnoteReference w:id="32"/>
      </w:r>
    </w:p>
    <w:p w:rsidR="000B1846" w:rsidRPr="00AE7584" w:rsidRDefault="000B1846"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2. </w:t>
      </w:r>
      <w:r w:rsidRPr="00AE7584">
        <w:rPr>
          <w:rFonts w:asciiTheme="majorHAnsi" w:hAnsiTheme="majorHAnsi" w:cstheme="majorHAnsi"/>
        </w:rPr>
        <w:t>Digital Realty’s structural argument is different from those discussed in the opinions of the Second, Fifth, and Ninth Circuits. It argues</w:t>
      </w:r>
      <w:r w:rsidR="005C69C5" w:rsidRPr="00AE7584">
        <w:rPr>
          <w:rFonts w:asciiTheme="majorHAnsi" w:hAnsiTheme="majorHAnsi" w:cstheme="majorHAnsi"/>
        </w:rPr>
        <w:t xml:space="preserve"> first</w:t>
      </w:r>
      <w:r w:rsidRPr="00AE7584">
        <w:rPr>
          <w:rFonts w:asciiTheme="majorHAnsi" w:hAnsiTheme="majorHAnsi" w:cstheme="majorHAnsi"/>
        </w:rPr>
        <w:t xml:space="preserve"> that  </w:t>
      </w:r>
      <w:r w:rsidR="005C69C5" w:rsidRPr="00AE7584">
        <w:rPr>
          <w:rFonts w:asciiTheme="majorHAnsi" w:hAnsiTheme="majorHAnsi" w:cstheme="majorHAnsi"/>
        </w:rPr>
        <w:t>§ 21F “whistleblowers” are only those people who report to the SEC because the rest of § 21F discusses the monetary bounties available only to those who report to the SEC.</w:t>
      </w:r>
      <w:r w:rsidR="005C69C5" w:rsidRPr="00AE7584">
        <w:rPr>
          <w:rStyle w:val="FootnoteReference"/>
          <w:rFonts w:asciiTheme="majorHAnsi" w:hAnsiTheme="majorHAnsi" w:cstheme="majorHAnsi"/>
        </w:rPr>
        <w:footnoteReference w:id="33"/>
      </w:r>
      <w:r w:rsidR="005C69C5" w:rsidRPr="00AE7584">
        <w:rPr>
          <w:rFonts w:asciiTheme="majorHAnsi" w:hAnsiTheme="majorHAnsi" w:cstheme="majorHAnsi"/>
        </w:rPr>
        <w:t xml:space="preserve"> “Extending anti-retaliation protection to individuals who have not reported securities-law violations to the SEC would divorce the anti-retaliation provision from the rest of the section.”</w:t>
      </w:r>
      <w:r w:rsidR="005C69C5" w:rsidRPr="00AE7584">
        <w:rPr>
          <w:rStyle w:val="FootnoteReference"/>
          <w:rFonts w:asciiTheme="majorHAnsi" w:hAnsiTheme="majorHAnsi" w:cstheme="majorHAnsi"/>
        </w:rPr>
        <w:footnoteReference w:id="34"/>
      </w:r>
      <w:r w:rsidR="005C69C5" w:rsidRPr="00AE7584">
        <w:rPr>
          <w:rFonts w:asciiTheme="majorHAnsi" w:hAnsiTheme="majorHAnsi" w:cstheme="majorHAnsi"/>
        </w:rPr>
        <w:t xml:space="preserve"> Digital Realty</w:t>
      </w:r>
      <w:r w:rsidR="002557AD" w:rsidRPr="00AE7584">
        <w:rPr>
          <w:rFonts w:asciiTheme="majorHAnsi" w:hAnsiTheme="majorHAnsi" w:cstheme="majorHAnsi"/>
        </w:rPr>
        <w:t xml:space="preserve"> also argues</w:t>
      </w:r>
      <w:r w:rsidR="005C69C5" w:rsidRPr="00AE7584">
        <w:rPr>
          <w:rFonts w:asciiTheme="majorHAnsi" w:hAnsiTheme="majorHAnsi" w:cstheme="majorHAnsi"/>
        </w:rPr>
        <w:t xml:space="preserve"> that § 21F contrasts with another provision in Dodd-Frank</w:t>
      </w:r>
      <w:r w:rsidR="002557AD" w:rsidRPr="00AE7584">
        <w:rPr>
          <w:rFonts w:asciiTheme="majorHAnsi" w:hAnsiTheme="majorHAnsi" w:cstheme="majorHAnsi"/>
        </w:rPr>
        <w:t xml:space="preserve"> protecting</w:t>
      </w:r>
      <w:r w:rsidR="005C69C5" w:rsidRPr="00AE7584">
        <w:rPr>
          <w:rFonts w:asciiTheme="majorHAnsi" w:hAnsiTheme="majorHAnsi" w:cstheme="majorHAnsi"/>
        </w:rPr>
        <w:t xml:space="preserve"> “covered employees”</w:t>
      </w:r>
      <w:r w:rsidR="001D3A72" w:rsidRPr="00AE7584">
        <w:rPr>
          <w:rFonts w:asciiTheme="majorHAnsi" w:hAnsiTheme="majorHAnsi" w:cstheme="majorHAnsi"/>
        </w:rPr>
        <w:t xml:space="preserve"> whether or not they</w:t>
      </w:r>
      <w:r w:rsidR="005C69C5" w:rsidRPr="00AE7584">
        <w:rPr>
          <w:rFonts w:asciiTheme="majorHAnsi" w:hAnsiTheme="majorHAnsi" w:cstheme="majorHAnsi"/>
        </w:rPr>
        <w:t xml:space="preserve"> disclose to the SEC.</w:t>
      </w:r>
      <w:r w:rsidR="005C69C5" w:rsidRPr="00AE7584">
        <w:rPr>
          <w:rStyle w:val="FootnoteReference"/>
          <w:rFonts w:asciiTheme="majorHAnsi" w:hAnsiTheme="majorHAnsi" w:cstheme="majorHAnsi"/>
        </w:rPr>
        <w:footnoteReference w:id="35"/>
      </w:r>
    </w:p>
    <w:p w:rsidR="00932EF2" w:rsidRPr="00AE7584" w:rsidRDefault="005C69C5"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3. </w:t>
      </w:r>
      <w:r w:rsidRPr="00AE7584">
        <w:rPr>
          <w:rFonts w:asciiTheme="majorHAnsi" w:hAnsiTheme="majorHAnsi" w:cstheme="majorHAnsi"/>
        </w:rPr>
        <w:t>Digital Realty’s legislative-history argument is similar t</w:t>
      </w:r>
      <w:r w:rsidR="00932EF2" w:rsidRPr="00AE7584">
        <w:rPr>
          <w:rFonts w:asciiTheme="majorHAnsi" w:hAnsiTheme="majorHAnsi" w:cstheme="majorHAnsi"/>
        </w:rPr>
        <w:t>o its structural argument. Digital Realty observes that § 21F was written “to enlist whistleblowers to ‘assist the [g]overnment to identify and prosecute persons who have violated securities laws’ and thereby ‘recover money for victims of financial fraud.’”</w:t>
      </w:r>
      <w:r w:rsidR="00932EF2" w:rsidRPr="00AE7584">
        <w:rPr>
          <w:rStyle w:val="FootnoteReference"/>
          <w:rFonts w:asciiTheme="majorHAnsi" w:hAnsiTheme="majorHAnsi" w:cstheme="majorHAnsi"/>
        </w:rPr>
        <w:footnoteReference w:id="36"/>
      </w:r>
      <w:r w:rsidR="00932EF2" w:rsidRPr="00AE7584">
        <w:rPr>
          <w:rFonts w:asciiTheme="majorHAnsi" w:hAnsiTheme="majorHAnsi" w:cstheme="majorHAnsi"/>
        </w:rPr>
        <w:t xml:space="preserve"> Congress provided these whistleblowers with both a monetary reward and protection from retaliation</w:t>
      </w:r>
      <w:r w:rsidR="00725C4E" w:rsidRPr="00AE7584">
        <w:rPr>
          <w:rFonts w:asciiTheme="majorHAnsi" w:hAnsiTheme="majorHAnsi" w:cstheme="majorHAnsi"/>
        </w:rPr>
        <w:t xml:space="preserve"> for</w:t>
      </w:r>
      <w:r w:rsidR="00932EF2" w:rsidRPr="00AE7584">
        <w:rPr>
          <w:rFonts w:asciiTheme="majorHAnsi" w:hAnsiTheme="majorHAnsi" w:cstheme="majorHAnsi"/>
          <w:i/>
        </w:rPr>
        <w:t xml:space="preserve"> </w:t>
      </w:r>
      <w:r w:rsidR="00932EF2" w:rsidRPr="00AE7584">
        <w:rPr>
          <w:rFonts w:asciiTheme="majorHAnsi" w:hAnsiTheme="majorHAnsi" w:cstheme="majorHAnsi"/>
        </w:rPr>
        <w:t>providing information to the SEC.</w:t>
      </w:r>
      <w:r w:rsidR="00932EF2" w:rsidRPr="00AE7584">
        <w:rPr>
          <w:rStyle w:val="FootnoteReference"/>
          <w:rFonts w:asciiTheme="majorHAnsi" w:hAnsiTheme="majorHAnsi" w:cstheme="majorHAnsi"/>
        </w:rPr>
        <w:footnoteReference w:id="37"/>
      </w:r>
      <w:r w:rsidR="00932EF2" w:rsidRPr="00AE7584">
        <w:rPr>
          <w:rFonts w:asciiTheme="majorHAnsi" w:hAnsiTheme="majorHAnsi" w:cstheme="majorHAnsi"/>
        </w:rPr>
        <w:t xml:space="preserve"> </w:t>
      </w:r>
      <w:r w:rsidR="00725C4E" w:rsidRPr="00AE7584">
        <w:rPr>
          <w:rFonts w:asciiTheme="majorHAnsi" w:hAnsiTheme="majorHAnsi" w:cstheme="majorHAnsi"/>
        </w:rPr>
        <w:t>Additionally, while the House version of § 21F protected any “employee, contractor, or agent,” the later Senate version of § 21F (the one eventually enacted) replaced that phrase with the narrower, defined term “whistleblower.”</w:t>
      </w:r>
      <w:r w:rsidR="00725C4E" w:rsidRPr="00AE7584">
        <w:rPr>
          <w:rStyle w:val="FootnoteReference"/>
          <w:rFonts w:asciiTheme="majorHAnsi" w:hAnsiTheme="majorHAnsi" w:cstheme="majorHAnsi"/>
        </w:rPr>
        <w:footnoteReference w:id="38"/>
      </w:r>
    </w:p>
    <w:p w:rsidR="00E8609A" w:rsidRPr="00AE7584" w:rsidRDefault="00725C4E"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4. </w:t>
      </w:r>
      <w:r w:rsidRPr="00AE7584">
        <w:rPr>
          <w:rFonts w:asciiTheme="majorHAnsi" w:hAnsiTheme="majorHAnsi" w:cstheme="majorHAnsi"/>
        </w:rPr>
        <w:t>Digital Realty’s congressional-purpose argument focuses on the differences between the SOX and Dodd-Frank antiretaliation regimes. SOX was enacted to “prevent and punish corporate and criminal fraud,” and its antiretaliation provision protects those who internally or externally report SEC violations or certain kinds of fraud.</w:t>
      </w:r>
      <w:r w:rsidRPr="00AE7584">
        <w:rPr>
          <w:rStyle w:val="FootnoteReference"/>
          <w:rFonts w:asciiTheme="majorHAnsi" w:hAnsiTheme="majorHAnsi" w:cstheme="majorHAnsi"/>
        </w:rPr>
        <w:footnoteReference w:id="39"/>
      </w:r>
      <w:r w:rsidR="00E8609A" w:rsidRPr="00AE7584">
        <w:rPr>
          <w:rFonts w:asciiTheme="majorHAnsi" w:hAnsiTheme="majorHAnsi" w:cstheme="majorHAnsi"/>
        </w:rPr>
        <w:t xml:space="preserve"> Dodd-Frank’s antiretaliation provision gives plaintiffs even greater protections to further incentivize reporting to the SEC.</w:t>
      </w:r>
      <w:r w:rsidR="00E8609A" w:rsidRPr="00AE7584">
        <w:rPr>
          <w:rStyle w:val="FootnoteReference"/>
          <w:rFonts w:asciiTheme="majorHAnsi" w:hAnsiTheme="majorHAnsi" w:cstheme="majorHAnsi"/>
        </w:rPr>
        <w:footnoteReference w:id="40"/>
      </w:r>
      <w:r w:rsidR="00E8609A" w:rsidRPr="00AE7584">
        <w:rPr>
          <w:rFonts w:asciiTheme="majorHAnsi" w:hAnsiTheme="majorHAnsi" w:cstheme="majorHAnsi"/>
        </w:rPr>
        <w:t xml:space="preserve"> “The Ninth Circuit’s interpretation of the Dodd-Frank Act’s provision would upset the balance between the two provisions, giving plaintiffs procedural advantages and remedies that Congress deliberately rejected in the Sarbanes-Oxley Act and thus threatening to render the Sarbanes-Oxley Act’s provision effectively obsolete.”</w:t>
      </w:r>
      <w:r w:rsidR="00E8609A" w:rsidRPr="00AE7584">
        <w:rPr>
          <w:rStyle w:val="FootnoteReference"/>
          <w:rFonts w:asciiTheme="majorHAnsi" w:hAnsiTheme="majorHAnsi" w:cstheme="majorHAnsi"/>
        </w:rPr>
        <w:footnoteReference w:id="41"/>
      </w:r>
    </w:p>
    <w:p w:rsidR="0024128D" w:rsidRPr="00AE7584" w:rsidRDefault="0024128D" w:rsidP="00AE7584">
      <w:pPr>
        <w:pStyle w:val="BlockText"/>
        <w:spacing w:before="240"/>
        <w:jc w:val="both"/>
        <w:rPr>
          <w:rFonts w:asciiTheme="majorHAnsi" w:hAnsiTheme="majorHAnsi" w:cstheme="majorHAnsi"/>
        </w:rPr>
      </w:pPr>
      <w:r w:rsidRPr="00AE7584">
        <w:rPr>
          <w:rFonts w:asciiTheme="majorHAnsi" w:hAnsiTheme="majorHAnsi" w:cstheme="majorHAnsi"/>
        </w:rPr>
        <w:t>Digital Realty also argues that the SEC’s interpretation</w:t>
      </w:r>
      <w:r w:rsidR="002557AD" w:rsidRPr="00AE7584">
        <w:rPr>
          <w:rFonts w:asciiTheme="majorHAnsi" w:hAnsiTheme="majorHAnsi" w:cstheme="majorHAnsi"/>
        </w:rPr>
        <w:t xml:space="preserve"> warrants</w:t>
      </w:r>
      <w:r w:rsidRPr="00AE7584">
        <w:rPr>
          <w:rFonts w:asciiTheme="majorHAnsi" w:hAnsiTheme="majorHAnsi" w:cstheme="majorHAnsi"/>
        </w:rPr>
        <w:t xml:space="preserve"> no deference. The definition is unambiguous, while “the SEC simply picked and chose the elements of the statutory definition that it liked.</w:t>
      </w:r>
      <w:r w:rsidR="002557AD" w:rsidRPr="00AE7584">
        <w:rPr>
          <w:rFonts w:asciiTheme="majorHAnsi" w:hAnsiTheme="majorHAnsi" w:cstheme="majorHAnsi"/>
        </w:rPr>
        <w:t>”</w:t>
      </w:r>
      <w:r w:rsidRPr="00AE7584">
        <w:rPr>
          <w:rStyle w:val="FootnoteReference"/>
          <w:rFonts w:asciiTheme="majorHAnsi" w:hAnsiTheme="majorHAnsi" w:cstheme="majorHAnsi"/>
        </w:rPr>
        <w:footnoteReference w:id="42"/>
      </w:r>
      <w:r w:rsidRPr="00AE7584">
        <w:rPr>
          <w:rFonts w:asciiTheme="majorHAnsi" w:hAnsiTheme="majorHAnsi" w:cstheme="majorHAnsi"/>
        </w:rPr>
        <w:t xml:space="preserve"> And the SEC promulgated its broader definition of “whistleblower” for the first time in the final rule, without explanation or notice, in violation of administrative procedure.</w:t>
      </w:r>
      <w:r w:rsidRPr="00AE7584">
        <w:rPr>
          <w:rStyle w:val="FootnoteReference"/>
          <w:rFonts w:asciiTheme="majorHAnsi" w:hAnsiTheme="majorHAnsi" w:cstheme="majorHAnsi"/>
        </w:rPr>
        <w:footnoteReference w:id="43"/>
      </w:r>
    </w:p>
    <w:p w:rsidR="00EE1D70" w:rsidRPr="00AE7584" w:rsidRDefault="00E8609A" w:rsidP="00AE7584">
      <w:pPr>
        <w:pStyle w:val="BlockText"/>
        <w:spacing w:before="240"/>
        <w:jc w:val="both"/>
        <w:rPr>
          <w:rFonts w:asciiTheme="majorHAnsi" w:hAnsiTheme="majorHAnsi" w:cstheme="majorHAnsi"/>
        </w:rPr>
      </w:pPr>
      <w:r w:rsidRPr="00AE7584">
        <w:rPr>
          <w:rFonts w:asciiTheme="majorHAnsi" w:hAnsiTheme="majorHAnsi" w:cstheme="majorHAnsi"/>
        </w:rPr>
        <w:t xml:space="preserve">Digital Realty also addresses some counterarguments to its position. </w:t>
      </w:r>
      <w:r w:rsidR="0024128D" w:rsidRPr="00AE7584">
        <w:rPr>
          <w:rFonts w:asciiTheme="majorHAnsi" w:hAnsiTheme="majorHAnsi" w:cstheme="majorHAnsi"/>
          <w:i/>
        </w:rPr>
        <w:t>First</w:t>
      </w:r>
      <w:r w:rsidR="0024128D" w:rsidRPr="00AE7584">
        <w:rPr>
          <w:rFonts w:asciiTheme="majorHAnsi" w:hAnsiTheme="majorHAnsi" w:cstheme="majorHAnsi"/>
        </w:rPr>
        <w:t xml:space="preserve">, Digital Realty </w:t>
      </w:r>
      <w:r w:rsidRPr="00AE7584">
        <w:rPr>
          <w:rFonts w:asciiTheme="majorHAnsi" w:hAnsiTheme="majorHAnsi" w:cstheme="majorHAnsi"/>
        </w:rPr>
        <w:t>argues that while its interpretation of the statute narrows the instances in which clause (iii) will have effect (the primary concern of the Second and Ninth Circuits), that narrowing both is less dramatic than courts have assumed and merely renders the clause more modest rather than superfluous.</w:t>
      </w:r>
      <w:r w:rsidRPr="00AE7584">
        <w:rPr>
          <w:rStyle w:val="FootnoteReference"/>
          <w:rFonts w:asciiTheme="majorHAnsi" w:hAnsiTheme="majorHAnsi" w:cstheme="majorHAnsi"/>
        </w:rPr>
        <w:footnoteReference w:id="44"/>
      </w:r>
      <w:r w:rsidR="002557AD" w:rsidRPr="00AE7584">
        <w:rPr>
          <w:rFonts w:asciiTheme="majorHAnsi" w:hAnsiTheme="majorHAnsi" w:cstheme="majorHAnsi"/>
        </w:rPr>
        <w:t xml:space="preserve"> And</w:t>
      </w:r>
      <w:r w:rsidRPr="00AE7584">
        <w:rPr>
          <w:rFonts w:asciiTheme="majorHAnsi" w:hAnsiTheme="majorHAnsi" w:cstheme="majorHAnsi"/>
        </w:rPr>
        <w:t xml:space="preserve"> lawyers and auditors remain protected by SOX regardless.</w:t>
      </w:r>
      <w:r w:rsidRPr="00AE7584">
        <w:rPr>
          <w:rStyle w:val="FootnoteReference"/>
          <w:rFonts w:asciiTheme="majorHAnsi" w:hAnsiTheme="majorHAnsi" w:cstheme="majorHAnsi"/>
        </w:rPr>
        <w:footnoteReference w:id="45"/>
      </w:r>
    </w:p>
    <w:p w:rsidR="001D3A72" w:rsidRPr="00AE7584" w:rsidRDefault="001D3A72" w:rsidP="00AE7584">
      <w:pPr>
        <w:pStyle w:val="BlockText"/>
        <w:spacing w:before="240"/>
        <w:jc w:val="both"/>
        <w:rPr>
          <w:rFonts w:asciiTheme="majorHAnsi" w:hAnsiTheme="majorHAnsi" w:cstheme="majorHAnsi"/>
        </w:rPr>
      </w:pPr>
      <w:r w:rsidRPr="00AE7584">
        <w:rPr>
          <w:rFonts w:asciiTheme="majorHAnsi" w:hAnsiTheme="majorHAnsi" w:cstheme="majorHAnsi"/>
          <w:i/>
        </w:rPr>
        <w:t>Second</w:t>
      </w:r>
      <w:r w:rsidRPr="00AE7584">
        <w:rPr>
          <w:rFonts w:asciiTheme="majorHAnsi" w:hAnsiTheme="majorHAnsi" w:cstheme="majorHAnsi"/>
        </w:rPr>
        <w:t xml:space="preserve">, </w:t>
      </w:r>
      <w:r w:rsidR="005C4DF7">
        <w:rPr>
          <w:rFonts w:asciiTheme="majorHAnsi" w:hAnsiTheme="majorHAnsi" w:cstheme="majorHAnsi"/>
        </w:rPr>
        <w:t xml:space="preserve">Digital Realty argues that </w:t>
      </w:r>
      <w:r w:rsidRPr="00AE7584">
        <w:rPr>
          <w:rFonts w:asciiTheme="majorHAnsi" w:hAnsiTheme="majorHAnsi" w:cstheme="majorHAnsi"/>
        </w:rPr>
        <w:t xml:space="preserve">both § 21F’s definition of “whistleblower” and the protected activity in clauses (i) and (ii) refer to disclosures </w:t>
      </w:r>
      <w:r w:rsidR="00EE1D70" w:rsidRPr="00AE7584">
        <w:rPr>
          <w:rFonts w:asciiTheme="majorHAnsi" w:hAnsiTheme="majorHAnsi" w:cstheme="majorHAnsi"/>
        </w:rPr>
        <w:t>“</w:t>
      </w:r>
      <w:r w:rsidRPr="00AE7584">
        <w:rPr>
          <w:rFonts w:asciiTheme="majorHAnsi" w:hAnsiTheme="majorHAnsi" w:cstheme="majorHAnsi"/>
        </w:rPr>
        <w:t xml:space="preserve">to the </w:t>
      </w:r>
      <w:r w:rsidR="00EE1D70" w:rsidRPr="00AE7584">
        <w:rPr>
          <w:rFonts w:asciiTheme="majorHAnsi" w:hAnsiTheme="majorHAnsi" w:cstheme="majorHAnsi"/>
        </w:rPr>
        <w:t>[</w:t>
      </w:r>
      <w:r w:rsidRPr="00AE7584">
        <w:rPr>
          <w:rFonts w:asciiTheme="majorHAnsi" w:hAnsiTheme="majorHAnsi" w:cstheme="majorHAnsi"/>
        </w:rPr>
        <w:t>SEC</w:t>
      </w:r>
      <w:r w:rsidR="00EE1D70" w:rsidRPr="00AE7584">
        <w:rPr>
          <w:rFonts w:asciiTheme="majorHAnsi" w:hAnsiTheme="majorHAnsi" w:cstheme="majorHAnsi"/>
        </w:rPr>
        <w:t>].” The SEC has argued that those words in clauses (i) and (ii) are redundant, unless the “whistleblower” referenced in clauses (i)–(iii) is different from the “whistleblower” in the definition.</w:t>
      </w:r>
      <w:r w:rsidR="00EE1D70" w:rsidRPr="00AE7584">
        <w:rPr>
          <w:rStyle w:val="FootnoteReference"/>
          <w:rFonts w:asciiTheme="majorHAnsi" w:hAnsiTheme="majorHAnsi" w:cstheme="majorHAnsi"/>
        </w:rPr>
        <w:footnoteReference w:id="46"/>
      </w:r>
      <w:r w:rsidR="00EE1D70" w:rsidRPr="00AE7584">
        <w:rPr>
          <w:rFonts w:asciiTheme="majorHAnsi" w:hAnsiTheme="majorHAnsi" w:cstheme="majorHAnsi"/>
        </w:rPr>
        <w:t xml:space="preserve"> Digital Realty counters that Congress can use “technically unnecessary” language without rendering a statute absurd.</w:t>
      </w:r>
      <w:r w:rsidR="00EE1D70" w:rsidRPr="00AE7584">
        <w:rPr>
          <w:rStyle w:val="FootnoteReference"/>
          <w:rFonts w:asciiTheme="majorHAnsi" w:hAnsiTheme="majorHAnsi" w:cstheme="majorHAnsi"/>
        </w:rPr>
        <w:footnoteReference w:id="47"/>
      </w:r>
    </w:p>
    <w:p w:rsidR="00E8609A" w:rsidRPr="00AE7584" w:rsidRDefault="002557AD" w:rsidP="00AE7584">
      <w:pPr>
        <w:pStyle w:val="BlockText"/>
        <w:spacing w:before="240"/>
        <w:jc w:val="both"/>
        <w:rPr>
          <w:rFonts w:asciiTheme="majorHAnsi" w:hAnsiTheme="majorHAnsi" w:cstheme="majorHAnsi"/>
        </w:rPr>
      </w:pPr>
      <w:r w:rsidRPr="00AE7584">
        <w:rPr>
          <w:rFonts w:asciiTheme="majorHAnsi" w:hAnsiTheme="majorHAnsi" w:cstheme="majorHAnsi"/>
          <w:i/>
        </w:rPr>
        <w:t>T</w:t>
      </w:r>
      <w:r w:rsidR="001D3A72" w:rsidRPr="00AE7584">
        <w:rPr>
          <w:rFonts w:asciiTheme="majorHAnsi" w:hAnsiTheme="majorHAnsi" w:cstheme="majorHAnsi"/>
          <w:i/>
        </w:rPr>
        <w:t>hird</w:t>
      </w:r>
      <w:r w:rsidR="0024128D" w:rsidRPr="00AE7584">
        <w:rPr>
          <w:rFonts w:asciiTheme="majorHAnsi" w:hAnsiTheme="majorHAnsi" w:cstheme="majorHAnsi"/>
        </w:rPr>
        <w:t>,</w:t>
      </w:r>
      <w:r w:rsidR="005C4DF7">
        <w:rPr>
          <w:rFonts w:asciiTheme="majorHAnsi" w:hAnsiTheme="majorHAnsi" w:cstheme="majorHAnsi"/>
        </w:rPr>
        <w:t xml:space="preserve"> Digital Relaty argues that</w:t>
      </w:r>
      <w:r w:rsidR="00EE1D70" w:rsidRPr="00AE7584">
        <w:rPr>
          <w:rFonts w:asciiTheme="majorHAnsi" w:hAnsiTheme="majorHAnsi" w:cstheme="majorHAnsi"/>
        </w:rPr>
        <w:t xml:space="preserve"> </w:t>
      </w:r>
      <w:r w:rsidR="005C4DF7" w:rsidRPr="005C4DF7">
        <w:rPr>
          <w:rFonts w:asciiTheme="majorHAnsi" w:hAnsiTheme="majorHAnsi" w:cstheme="majorHAnsi"/>
          <w:i/>
        </w:rPr>
        <w:t>K</w:t>
      </w:r>
      <w:r w:rsidR="0024128D" w:rsidRPr="005C4DF7">
        <w:rPr>
          <w:rFonts w:asciiTheme="majorHAnsi" w:hAnsiTheme="majorHAnsi" w:cstheme="majorHAnsi"/>
          <w:i/>
        </w:rPr>
        <w:t>ing</w:t>
      </w:r>
      <w:r w:rsidR="0024128D" w:rsidRPr="00AE7584">
        <w:rPr>
          <w:rFonts w:asciiTheme="majorHAnsi" w:hAnsiTheme="majorHAnsi" w:cstheme="majorHAnsi"/>
          <w:i/>
        </w:rPr>
        <w:t xml:space="preserve"> </w:t>
      </w:r>
      <w:r w:rsidR="0024128D" w:rsidRPr="00AE7584">
        <w:rPr>
          <w:rFonts w:asciiTheme="majorHAnsi" w:hAnsiTheme="majorHAnsi" w:cstheme="majorHAnsi"/>
        </w:rPr>
        <w:t xml:space="preserve">has little to do with the current case, both because </w:t>
      </w:r>
      <w:r w:rsidR="0024128D" w:rsidRPr="00AE7584">
        <w:rPr>
          <w:rFonts w:asciiTheme="majorHAnsi" w:hAnsiTheme="majorHAnsi" w:cstheme="majorHAnsi"/>
          <w:i/>
        </w:rPr>
        <w:t>King</w:t>
      </w:r>
      <w:r w:rsidR="0024128D" w:rsidRPr="00AE7584">
        <w:rPr>
          <w:rFonts w:asciiTheme="majorHAnsi" w:hAnsiTheme="majorHAnsi" w:cstheme="majorHAnsi"/>
        </w:rPr>
        <w:t xml:space="preserve"> interpreted a 900-page interlocking statute rather than one simple section and because there is no ambiguity in § 21F.</w:t>
      </w:r>
      <w:r w:rsidR="0024128D" w:rsidRPr="00AE7584">
        <w:rPr>
          <w:rStyle w:val="FootnoteReference"/>
          <w:rFonts w:asciiTheme="majorHAnsi" w:hAnsiTheme="majorHAnsi" w:cstheme="majorHAnsi"/>
        </w:rPr>
        <w:footnoteReference w:id="48"/>
      </w:r>
    </w:p>
    <w:p w:rsidR="000B1846" w:rsidRPr="00AE7584" w:rsidRDefault="00B13AED" w:rsidP="00AE7584">
      <w:pPr>
        <w:pStyle w:val="BlockText"/>
        <w:spacing w:before="240"/>
        <w:jc w:val="both"/>
        <w:rPr>
          <w:rFonts w:asciiTheme="majorHAnsi" w:hAnsiTheme="majorHAnsi" w:cstheme="majorHAnsi"/>
          <w:b/>
        </w:rPr>
      </w:pPr>
      <w:r w:rsidRPr="00AE7584">
        <w:rPr>
          <w:rFonts w:asciiTheme="majorHAnsi" w:hAnsiTheme="majorHAnsi" w:cstheme="majorHAnsi"/>
          <w:b/>
        </w:rPr>
        <w:t>Respondent Paul Somers.</w:t>
      </w:r>
    </w:p>
    <w:p w:rsidR="00421B4C" w:rsidRPr="00AE7584" w:rsidRDefault="00421B4C" w:rsidP="00AE7584">
      <w:pPr>
        <w:pStyle w:val="BlockText"/>
        <w:spacing w:before="240"/>
        <w:jc w:val="both"/>
        <w:rPr>
          <w:rFonts w:asciiTheme="majorHAnsi" w:hAnsiTheme="majorHAnsi" w:cstheme="majorHAnsi"/>
        </w:rPr>
      </w:pPr>
      <w:r w:rsidRPr="00AE7584">
        <w:rPr>
          <w:rFonts w:asciiTheme="majorHAnsi" w:hAnsiTheme="majorHAnsi" w:cstheme="majorHAnsi"/>
        </w:rPr>
        <w:t>Somers’s argument follows the same four-part outline as Digital Realty’s: (1) the plain meaning of the text; (2) the structure of the statute; (3) legislative history; and (4)</w:t>
      </w:r>
      <w:r w:rsidR="00B17F4E" w:rsidRPr="00AE7584">
        <w:rPr>
          <w:rFonts w:asciiTheme="majorHAnsi" w:hAnsiTheme="majorHAnsi" w:cstheme="majorHAnsi"/>
        </w:rPr>
        <w:t> </w:t>
      </w:r>
      <w:r w:rsidRPr="00AE7584">
        <w:rPr>
          <w:rFonts w:asciiTheme="majorHAnsi" w:hAnsiTheme="majorHAnsi" w:cstheme="majorHAnsi"/>
        </w:rPr>
        <w:t>congressional purpose.</w:t>
      </w:r>
      <w:r w:rsidR="00B17F4E" w:rsidRPr="00AE7584">
        <w:rPr>
          <w:rStyle w:val="FootnoteReference"/>
          <w:rFonts w:asciiTheme="majorHAnsi" w:hAnsiTheme="majorHAnsi" w:cstheme="majorHAnsi"/>
        </w:rPr>
        <w:footnoteReference w:id="49"/>
      </w:r>
    </w:p>
    <w:p w:rsidR="00B17F4E" w:rsidRPr="00AE7584" w:rsidRDefault="00B17F4E"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1. </w:t>
      </w:r>
      <w:r w:rsidRPr="00AE7584">
        <w:rPr>
          <w:rFonts w:asciiTheme="majorHAnsi" w:hAnsiTheme="majorHAnsi" w:cstheme="majorHAnsi"/>
        </w:rPr>
        <w:t>Somers</w:t>
      </w:r>
      <w:r w:rsidR="00E21A57" w:rsidRPr="00AE7584">
        <w:rPr>
          <w:rFonts w:asciiTheme="majorHAnsi" w:hAnsiTheme="majorHAnsi" w:cstheme="majorHAnsi"/>
        </w:rPr>
        <w:t>’s textual argument posits</w:t>
      </w:r>
      <w:r w:rsidRPr="00AE7584">
        <w:rPr>
          <w:rFonts w:asciiTheme="majorHAnsi" w:hAnsiTheme="majorHAnsi" w:cstheme="majorHAnsi"/>
        </w:rPr>
        <w:t xml:space="preserve"> that the definition of “whistleblower”</w:t>
      </w:r>
      <w:r w:rsidR="008F1C24" w:rsidRPr="00AE7584">
        <w:rPr>
          <w:rFonts w:asciiTheme="majorHAnsi" w:hAnsiTheme="majorHAnsi" w:cstheme="majorHAnsi"/>
        </w:rPr>
        <w:t xml:space="preserve"> (someone who reports to the SEC)</w:t>
      </w:r>
      <w:r w:rsidRPr="00AE7584">
        <w:rPr>
          <w:rFonts w:asciiTheme="majorHAnsi" w:hAnsiTheme="majorHAnsi" w:cstheme="majorHAnsi"/>
        </w:rPr>
        <w:t xml:space="preserve"> at the beginning of § 21F does not necessarily control the meaning of “whistleblower” in clause (iii) </w:t>
      </w:r>
      <w:r w:rsidR="008F1C24" w:rsidRPr="00AE7584">
        <w:rPr>
          <w:rFonts w:asciiTheme="majorHAnsi" w:hAnsiTheme="majorHAnsi" w:cstheme="majorHAnsi"/>
        </w:rPr>
        <w:t>of that section.</w:t>
      </w:r>
      <w:r w:rsidR="008F1C24" w:rsidRPr="00AE7584">
        <w:rPr>
          <w:rStyle w:val="FootnoteReference"/>
          <w:rFonts w:asciiTheme="majorHAnsi" w:hAnsiTheme="majorHAnsi" w:cstheme="majorHAnsi"/>
        </w:rPr>
        <w:footnoteReference w:id="50"/>
      </w:r>
      <w:r w:rsidR="005C4DF7">
        <w:rPr>
          <w:rFonts w:asciiTheme="majorHAnsi" w:hAnsiTheme="majorHAnsi" w:cstheme="majorHAnsi"/>
        </w:rPr>
        <w:t xml:space="preserve"> The definition creates</w:t>
      </w:r>
      <w:r w:rsidR="008F1C24" w:rsidRPr="00AE7584">
        <w:rPr>
          <w:rFonts w:asciiTheme="majorHAnsi" w:hAnsiTheme="majorHAnsi" w:cstheme="majorHAnsi"/>
        </w:rPr>
        <w:t xml:space="preserve"> a presumption, but not an absolute requirement.</w:t>
      </w:r>
      <w:r w:rsidR="008F1C24" w:rsidRPr="00AE7584">
        <w:rPr>
          <w:rStyle w:val="FootnoteReference"/>
          <w:rFonts w:asciiTheme="majorHAnsi" w:hAnsiTheme="majorHAnsi" w:cstheme="majorHAnsi"/>
        </w:rPr>
        <w:footnoteReference w:id="51"/>
      </w:r>
      <w:r w:rsidR="008F1C24" w:rsidRPr="00AE7584">
        <w:rPr>
          <w:rFonts w:asciiTheme="majorHAnsi" w:hAnsiTheme="majorHAnsi" w:cstheme="majorHAnsi"/>
        </w:rPr>
        <w:t xml:space="preserve"> That presumption is overcome here</w:t>
      </w:r>
      <w:r w:rsidR="00E21A57" w:rsidRPr="00AE7584">
        <w:rPr>
          <w:rFonts w:asciiTheme="majorHAnsi" w:hAnsiTheme="majorHAnsi" w:cstheme="majorHAnsi"/>
        </w:rPr>
        <w:t xml:space="preserve"> and leads to ambiguity</w:t>
      </w:r>
      <w:r w:rsidR="008F1C24" w:rsidRPr="00AE7584">
        <w:rPr>
          <w:rFonts w:asciiTheme="majorHAnsi" w:hAnsiTheme="majorHAnsi" w:cstheme="majorHAnsi"/>
        </w:rPr>
        <w:t>, says Somers, for sever</w:t>
      </w:r>
      <w:r w:rsidR="005C4DF7">
        <w:rPr>
          <w:rFonts w:asciiTheme="majorHAnsi" w:hAnsiTheme="majorHAnsi" w:cstheme="majorHAnsi"/>
        </w:rPr>
        <w:t>al reasons.</w:t>
      </w:r>
      <w:r w:rsidR="008F1C24" w:rsidRPr="00AE7584">
        <w:rPr>
          <w:rFonts w:asciiTheme="majorHAnsi" w:hAnsiTheme="majorHAnsi" w:cstheme="majorHAnsi"/>
        </w:rPr>
        <w:t xml:space="preserve"> </w:t>
      </w:r>
      <w:r w:rsidR="005C4DF7">
        <w:rPr>
          <w:rFonts w:asciiTheme="majorHAnsi" w:hAnsiTheme="majorHAnsi" w:cstheme="majorHAnsi"/>
        </w:rPr>
        <w:t>C</w:t>
      </w:r>
      <w:r w:rsidR="008F1C24" w:rsidRPr="00AE7584">
        <w:rPr>
          <w:rFonts w:asciiTheme="majorHAnsi" w:hAnsiTheme="majorHAnsi" w:cstheme="majorHAnsi"/>
        </w:rPr>
        <w:t>lause (iii) references a provision of SOX that does not require reporting to the SEC, which makes the definition an odd fit textually</w:t>
      </w:r>
      <w:r w:rsidR="005C4DF7">
        <w:rPr>
          <w:rFonts w:asciiTheme="majorHAnsi" w:hAnsiTheme="majorHAnsi" w:cstheme="majorHAnsi"/>
        </w:rPr>
        <w:t>.</w:t>
      </w:r>
      <w:r w:rsidR="008F1C24" w:rsidRPr="00AE7584">
        <w:rPr>
          <w:rStyle w:val="FootnoteReference"/>
          <w:rFonts w:asciiTheme="majorHAnsi" w:hAnsiTheme="majorHAnsi" w:cstheme="majorHAnsi"/>
        </w:rPr>
        <w:footnoteReference w:id="52"/>
      </w:r>
      <w:r w:rsidR="008F1C24" w:rsidRPr="00AE7584">
        <w:rPr>
          <w:rFonts w:asciiTheme="majorHAnsi" w:hAnsiTheme="majorHAnsi" w:cstheme="majorHAnsi"/>
        </w:rPr>
        <w:t xml:space="preserve"> </w:t>
      </w:r>
      <w:r w:rsidR="005C4DF7">
        <w:rPr>
          <w:rFonts w:asciiTheme="majorHAnsi" w:hAnsiTheme="majorHAnsi" w:cstheme="majorHAnsi"/>
        </w:rPr>
        <w:t>N</w:t>
      </w:r>
      <w:r w:rsidR="008F1C24" w:rsidRPr="00AE7584">
        <w:rPr>
          <w:rFonts w:asciiTheme="majorHAnsi" w:hAnsiTheme="majorHAnsi" w:cstheme="majorHAnsi"/>
        </w:rPr>
        <w:t>eighboring sections referencing the whistleblower’s cause of action for retaliation use terms like “employee” and “individual,” suggesting that the term “whistleblower” was not meant as a term of art in clause (iii)</w:t>
      </w:r>
      <w:r w:rsidR="005C4DF7">
        <w:rPr>
          <w:rFonts w:asciiTheme="majorHAnsi" w:hAnsiTheme="majorHAnsi" w:cstheme="majorHAnsi"/>
        </w:rPr>
        <w:t>.</w:t>
      </w:r>
      <w:r w:rsidR="008F1C24" w:rsidRPr="00AE7584">
        <w:rPr>
          <w:rStyle w:val="FootnoteReference"/>
          <w:rFonts w:asciiTheme="majorHAnsi" w:hAnsiTheme="majorHAnsi" w:cstheme="majorHAnsi"/>
        </w:rPr>
        <w:footnoteReference w:id="53"/>
      </w:r>
      <w:r w:rsidR="005C4DF7">
        <w:rPr>
          <w:rFonts w:asciiTheme="majorHAnsi" w:hAnsiTheme="majorHAnsi" w:cstheme="majorHAnsi"/>
        </w:rPr>
        <w:t xml:space="preserve"> T</w:t>
      </w:r>
      <w:r w:rsidR="008F1C24" w:rsidRPr="00AE7584">
        <w:rPr>
          <w:rFonts w:asciiTheme="majorHAnsi" w:hAnsiTheme="majorHAnsi" w:cstheme="majorHAnsi"/>
        </w:rPr>
        <w:t>he same section of Dodd-Frank that enacted § 21F also amended the antiretaliation provisions of SOX and labeled those amendments “whistleblower protections</w:t>
      </w:r>
      <w:r w:rsidR="005C4DF7">
        <w:rPr>
          <w:rFonts w:asciiTheme="majorHAnsi" w:hAnsiTheme="majorHAnsi" w:cstheme="majorHAnsi"/>
        </w:rPr>
        <w:t>.</w:t>
      </w:r>
      <w:r w:rsidR="008F1C24" w:rsidRPr="00AE7584">
        <w:rPr>
          <w:rFonts w:asciiTheme="majorHAnsi" w:hAnsiTheme="majorHAnsi" w:cstheme="majorHAnsi"/>
        </w:rPr>
        <w:t>”</w:t>
      </w:r>
      <w:r w:rsidR="008F1C24" w:rsidRPr="00AE7584">
        <w:rPr>
          <w:rStyle w:val="FootnoteReference"/>
          <w:rFonts w:asciiTheme="majorHAnsi" w:hAnsiTheme="majorHAnsi" w:cstheme="majorHAnsi"/>
        </w:rPr>
        <w:footnoteReference w:id="54"/>
      </w:r>
      <w:r w:rsidR="005C4DF7">
        <w:rPr>
          <w:rFonts w:asciiTheme="majorHAnsi" w:hAnsiTheme="majorHAnsi" w:cstheme="majorHAnsi"/>
        </w:rPr>
        <w:t xml:space="preserve"> A</w:t>
      </w:r>
      <w:r w:rsidR="00E21A57" w:rsidRPr="00AE7584">
        <w:rPr>
          <w:rFonts w:asciiTheme="majorHAnsi" w:hAnsiTheme="majorHAnsi" w:cstheme="majorHAnsi"/>
        </w:rPr>
        <w:t xml:space="preserve">nd § 21F is directed toward the acts that </w:t>
      </w:r>
      <w:r w:rsidR="00E21A57" w:rsidRPr="00AE7584">
        <w:rPr>
          <w:rFonts w:asciiTheme="majorHAnsi" w:hAnsiTheme="majorHAnsi" w:cstheme="majorHAnsi"/>
          <w:i/>
        </w:rPr>
        <w:t xml:space="preserve">employers </w:t>
      </w:r>
      <w:r w:rsidR="00E21A57" w:rsidRPr="00AE7584">
        <w:rPr>
          <w:rFonts w:asciiTheme="majorHAnsi" w:hAnsiTheme="majorHAnsi" w:cstheme="majorHAnsi"/>
        </w:rPr>
        <w:t>may not punish, suggesting that Congress did not in the same breath intend to provide those employers with an open back door to escape the section’s prohibitions.</w:t>
      </w:r>
      <w:r w:rsidR="00E21A57" w:rsidRPr="00AE7584">
        <w:rPr>
          <w:rStyle w:val="FootnoteReference"/>
          <w:rFonts w:asciiTheme="majorHAnsi" w:hAnsiTheme="majorHAnsi" w:cstheme="majorHAnsi"/>
        </w:rPr>
        <w:footnoteReference w:id="55"/>
      </w:r>
    </w:p>
    <w:p w:rsidR="00B13AED" w:rsidRPr="00AE7584" w:rsidRDefault="00E21A57"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2. </w:t>
      </w:r>
      <w:r w:rsidRPr="00AE7584">
        <w:rPr>
          <w:rFonts w:asciiTheme="majorHAnsi" w:hAnsiTheme="majorHAnsi" w:cstheme="majorHAnsi"/>
        </w:rPr>
        <w:t>Somers’s structural argument posits that § 21F provides a monetary reward for reporting to the SEC, which makes sense because the reward is tethered to government action on those reports.</w:t>
      </w:r>
      <w:r w:rsidRPr="00AE7584">
        <w:rPr>
          <w:rStyle w:val="FootnoteReference"/>
          <w:rFonts w:asciiTheme="majorHAnsi" w:hAnsiTheme="majorHAnsi" w:cstheme="majorHAnsi"/>
        </w:rPr>
        <w:footnoteReference w:id="56"/>
      </w:r>
      <w:r w:rsidRPr="00AE7584">
        <w:rPr>
          <w:rFonts w:asciiTheme="majorHAnsi" w:hAnsiTheme="majorHAnsi" w:cstheme="majorHAnsi"/>
        </w:rPr>
        <w:t xml:space="preserve"> But it does not follow that the antiretaliation provisions should be limited to those w</w:t>
      </w:r>
      <w:r w:rsidR="001D3A72" w:rsidRPr="00AE7584">
        <w:rPr>
          <w:rFonts w:asciiTheme="majorHAnsi" w:hAnsiTheme="majorHAnsi" w:cstheme="majorHAnsi"/>
        </w:rPr>
        <w:t>ho report to the SEC. Congress meant to protect internal reporting as well.</w:t>
      </w:r>
      <w:r w:rsidR="001D3A72" w:rsidRPr="00AE7584">
        <w:rPr>
          <w:rStyle w:val="FootnoteReference"/>
          <w:rFonts w:asciiTheme="majorHAnsi" w:hAnsiTheme="majorHAnsi" w:cstheme="majorHAnsi"/>
        </w:rPr>
        <w:footnoteReference w:id="57"/>
      </w:r>
      <w:r w:rsidR="00EE1D70" w:rsidRPr="00AE7584">
        <w:rPr>
          <w:rFonts w:asciiTheme="majorHAnsi" w:hAnsiTheme="majorHAnsi" w:cstheme="majorHAnsi"/>
        </w:rPr>
        <w:t xml:space="preserve"> And the use of the redundant words “to the [SEC]” in clauses (i) and (ii) at least “suggests tension with the presumption that whistleblower was not used in its ordinary sense.”</w:t>
      </w:r>
      <w:r w:rsidR="00EE1D70" w:rsidRPr="00AE7584">
        <w:rPr>
          <w:rStyle w:val="FootnoteReference"/>
          <w:rFonts w:asciiTheme="majorHAnsi" w:hAnsiTheme="majorHAnsi" w:cstheme="majorHAnsi"/>
        </w:rPr>
        <w:footnoteReference w:id="58"/>
      </w:r>
    </w:p>
    <w:p w:rsidR="00C55BEF" w:rsidRPr="00AE7584" w:rsidRDefault="00C55BEF"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3. </w:t>
      </w:r>
      <w:r w:rsidRPr="00AE7584">
        <w:rPr>
          <w:rFonts w:asciiTheme="majorHAnsi" w:hAnsiTheme="majorHAnsi" w:cstheme="majorHAnsi"/>
        </w:rPr>
        <w:t>Somers’s legislative-history argument posits that “it is not at all surprising that,” when clause (iii) was inserted at the last minute, “no one noticed that the new subdivision and the definition of ‘whistleblower’ do not fit together neatly.”</w:t>
      </w:r>
      <w:r w:rsidRPr="00AE7584">
        <w:rPr>
          <w:rStyle w:val="FootnoteReference"/>
          <w:rFonts w:asciiTheme="majorHAnsi" w:hAnsiTheme="majorHAnsi" w:cstheme="majorHAnsi"/>
        </w:rPr>
        <w:footnoteReference w:id="59"/>
      </w:r>
      <w:r w:rsidRPr="00AE7584">
        <w:rPr>
          <w:rFonts w:asciiTheme="majorHAnsi" w:hAnsiTheme="majorHAnsi" w:cstheme="majorHAnsi"/>
        </w:rPr>
        <w:t xml:space="preserve"> Digital Realty’s argument that § 21F</w:t>
      </w:r>
      <w:r w:rsidR="00D8272E" w:rsidRPr="00AE7584">
        <w:rPr>
          <w:rFonts w:asciiTheme="majorHAnsi" w:hAnsiTheme="majorHAnsi" w:cstheme="majorHAnsi"/>
        </w:rPr>
        <w:t xml:space="preserve"> was intended to fit</w:t>
      </w:r>
      <w:r w:rsidRPr="00AE7584">
        <w:rPr>
          <w:rFonts w:asciiTheme="majorHAnsi" w:hAnsiTheme="majorHAnsi" w:cstheme="majorHAnsi"/>
        </w:rPr>
        <w:t xml:space="preserve"> together in a tight scheme do not adhere to the chronology of the bill’s amendments.</w:t>
      </w:r>
      <w:r w:rsidRPr="00AE7584">
        <w:rPr>
          <w:rStyle w:val="FootnoteReference"/>
          <w:rFonts w:asciiTheme="majorHAnsi" w:hAnsiTheme="majorHAnsi" w:cstheme="majorHAnsi"/>
        </w:rPr>
        <w:footnoteReference w:id="60"/>
      </w:r>
    </w:p>
    <w:p w:rsidR="000B1846" w:rsidRPr="00AE7584" w:rsidRDefault="00EE1D70" w:rsidP="00AE7584">
      <w:pPr>
        <w:pStyle w:val="BlockText"/>
        <w:spacing w:before="240"/>
        <w:jc w:val="both"/>
        <w:rPr>
          <w:rFonts w:asciiTheme="majorHAnsi" w:hAnsiTheme="majorHAnsi" w:cstheme="majorHAnsi"/>
        </w:rPr>
      </w:pPr>
      <w:r w:rsidRPr="00AE7584">
        <w:rPr>
          <w:rFonts w:asciiTheme="majorHAnsi" w:hAnsiTheme="majorHAnsi" w:cstheme="majorHAnsi"/>
          <w:b/>
        </w:rPr>
        <w:t xml:space="preserve">4. </w:t>
      </w:r>
      <w:r w:rsidRPr="00AE7584">
        <w:rPr>
          <w:rFonts w:asciiTheme="majorHAnsi" w:hAnsiTheme="majorHAnsi" w:cstheme="majorHAnsi"/>
        </w:rPr>
        <w:t>Somers’s argument from congressional purpose posits that Digital Realty’s interpretation would upset the functioning of both SOX and Dodd-Frank. That interpretation would encourage external reporting to the SEC at the expense of internal reporting, which was a primary objective of SOX.</w:t>
      </w:r>
      <w:r w:rsidRPr="00AE7584">
        <w:rPr>
          <w:rStyle w:val="FootnoteReference"/>
          <w:rFonts w:asciiTheme="majorHAnsi" w:hAnsiTheme="majorHAnsi" w:cstheme="majorHAnsi"/>
        </w:rPr>
        <w:footnoteReference w:id="61"/>
      </w:r>
      <w:r w:rsidR="00C55BEF" w:rsidRPr="00AE7584">
        <w:rPr>
          <w:rFonts w:asciiTheme="majorHAnsi" w:hAnsiTheme="majorHAnsi" w:cstheme="majorHAnsi"/>
        </w:rPr>
        <w:t xml:space="preserve"> It would also eviscerate Dodd-Frank, for if employees are afraid to report internally (as attorneys and auditors must), they will rarely progress to reporting to the SEC.</w:t>
      </w:r>
      <w:r w:rsidR="00C55BEF" w:rsidRPr="00AE7584">
        <w:rPr>
          <w:rStyle w:val="FootnoteReference"/>
          <w:rFonts w:asciiTheme="majorHAnsi" w:hAnsiTheme="majorHAnsi" w:cstheme="majorHAnsi"/>
        </w:rPr>
        <w:footnoteReference w:id="62"/>
      </w:r>
      <w:r w:rsidR="00C55BEF" w:rsidRPr="00AE7584">
        <w:rPr>
          <w:rFonts w:asciiTheme="majorHAnsi" w:hAnsiTheme="majorHAnsi" w:cstheme="majorHAnsi"/>
        </w:rPr>
        <w:t xml:space="preserve"> What would be left is a statutory scheme whose protections rely on how quickly employers retaliate and which would depend on an employer’s knowledge of an employee’s reporting to the SEC, which they rarely know of.</w:t>
      </w:r>
      <w:r w:rsidR="00C55BEF" w:rsidRPr="00AE7584">
        <w:rPr>
          <w:rStyle w:val="FootnoteReference"/>
          <w:rFonts w:asciiTheme="majorHAnsi" w:hAnsiTheme="majorHAnsi" w:cstheme="majorHAnsi"/>
        </w:rPr>
        <w:footnoteReference w:id="63"/>
      </w:r>
      <w:r w:rsidR="00C55BEF" w:rsidRPr="00AE7584">
        <w:rPr>
          <w:rFonts w:asciiTheme="majorHAnsi" w:hAnsiTheme="majorHAnsi" w:cstheme="majorHAnsi"/>
        </w:rPr>
        <w:t xml:space="preserve"> Finally, Digital Realty’s interpretation would not make SOX’s scheme obsolete. As described by the Ninth Circuit, the remedial schemes are different, not superior and inferior.</w:t>
      </w:r>
      <w:r w:rsidR="00C55BEF" w:rsidRPr="00AE7584">
        <w:rPr>
          <w:rStyle w:val="FootnoteReference"/>
          <w:rFonts w:asciiTheme="majorHAnsi" w:hAnsiTheme="majorHAnsi" w:cstheme="majorHAnsi"/>
        </w:rPr>
        <w:footnoteReference w:id="64"/>
      </w:r>
    </w:p>
    <w:p w:rsidR="00C00ABF" w:rsidRPr="00AE7584" w:rsidRDefault="00C00ABF" w:rsidP="00AE7584">
      <w:pPr>
        <w:pStyle w:val="BlockText"/>
        <w:keepNext/>
        <w:spacing w:before="240" w:after="0"/>
        <w:rPr>
          <w:rFonts w:asciiTheme="majorHAnsi" w:hAnsiTheme="majorHAnsi" w:cstheme="majorHAnsi"/>
          <w:b/>
        </w:rPr>
      </w:pPr>
      <w:r w:rsidRPr="00AE7584">
        <w:rPr>
          <w:rFonts w:asciiTheme="majorHAnsi" w:hAnsiTheme="majorHAnsi" w:cstheme="majorHAnsi"/>
          <w:b/>
        </w:rPr>
        <w:t>6. Highlights from the amici.</w:t>
      </w:r>
    </w:p>
    <w:p w:rsidR="00E82644" w:rsidRPr="00AE7584" w:rsidRDefault="00E82644" w:rsidP="00AE7584">
      <w:pPr>
        <w:pStyle w:val="BlockText"/>
        <w:numPr>
          <w:ilvl w:val="0"/>
          <w:numId w:val="32"/>
        </w:numPr>
        <w:spacing w:before="240" w:after="0"/>
        <w:jc w:val="both"/>
        <w:rPr>
          <w:rFonts w:asciiTheme="majorHAnsi" w:hAnsiTheme="majorHAnsi" w:cstheme="majorHAnsi"/>
        </w:rPr>
      </w:pPr>
      <w:r w:rsidRPr="00AE7584">
        <w:rPr>
          <w:rFonts w:asciiTheme="majorHAnsi" w:hAnsiTheme="majorHAnsi" w:cstheme="majorHAnsi"/>
        </w:rPr>
        <w:t xml:space="preserve">The United States </w:t>
      </w:r>
      <w:r w:rsidR="00A537C0">
        <w:rPr>
          <w:rFonts w:asciiTheme="majorHAnsi" w:hAnsiTheme="majorHAnsi" w:cstheme="majorHAnsi"/>
        </w:rPr>
        <w:t>filed an amicus brief in favor of the respondent, largely mirroring his arguments.</w:t>
      </w:r>
      <w:r w:rsidR="00A537C0">
        <w:rPr>
          <w:rStyle w:val="FootnoteReference"/>
          <w:rFonts w:asciiTheme="majorHAnsi" w:hAnsiTheme="majorHAnsi" w:cstheme="majorHAnsi"/>
        </w:rPr>
        <w:footnoteReference w:id="65"/>
      </w:r>
    </w:p>
    <w:p w:rsidR="00A537C0" w:rsidRPr="00AE7584" w:rsidRDefault="00A537C0" w:rsidP="00A537C0">
      <w:pPr>
        <w:pStyle w:val="BlockText"/>
        <w:numPr>
          <w:ilvl w:val="0"/>
          <w:numId w:val="32"/>
        </w:numPr>
        <w:spacing w:before="240" w:after="0"/>
        <w:jc w:val="both"/>
        <w:rPr>
          <w:rFonts w:asciiTheme="majorHAnsi" w:hAnsiTheme="majorHAnsi" w:cstheme="majorHAnsi"/>
        </w:rPr>
      </w:pPr>
      <w:r>
        <w:rPr>
          <w:rFonts w:asciiTheme="majorHAnsi" w:hAnsiTheme="majorHAnsi" w:cstheme="majorHAnsi"/>
        </w:rPr>
        <w:t>S</w:t>
      </w:r>
      <w:r w:rsidR="009A4F7D">
        <w:rPr>
          <w:rFonts w:asciiTheme="majorHAnsi" w:hAnsiTheme="majorHAnsi" w:cstheme="majorHAnsi"/>
        </w:rPr>
        <w:t>o did S</w:t>
      </w:r>
      <w:r>
        <w:rPr>
          <w:rFonts w:asciiTheme="majorHAnsi" w:hAnsiTheme="majorHAnsi" w:cstheme="majorHAnsi"/>
        </w:rPr>
        <w:t>enator Grassley. He is well-known for “author[ing] and promot[ing] in Congress numerous pivotal statutes that protect whistleblowers and incentive them ....”</w:t>
      </w:r>
      <w:r>
        <w:rPr>
          <w:rStyle w:val="FootnoteReference"/>
          <w:rFonts w:asciiTheme="majorHAnsi" w:hAnsiTheme="majorHAnsi" w:cstheme="majorHAnsi"/>
        </w:rPr>
        <w:footnoteReference w:id="66"/>
      </w:r>
    </w:p>
    <w:p w:rsidR="006C6D7B" w:rsidRPr="00AE7584" w:rsidRDefault="007910BD" w:rsidP="00AE7584">
      <w:pPr>
        <w:pStyle w:val="BlockText"/>
        <w:numPr>
          <w:ilvl w:val="0"/>
          <w:numId w:val="32"/>
        </w:numPr>
        <w:spacing w:before="240" w:after="0"/>
        <w:jc w:val="both"/>
        <w:rPr>
          <w:rFonts w:asciiTheme="majorHAnsi" w:hAnsiTheme="majorHAnsi" w:cstheme="majorHAnsi"/>
        </w:rPr>
      </w:pPr>
      <w:r w:rsidRPr="00AE7584">
        <w:rPr>
          <w:rFonts w:asciiTheme="majorHAnsi" w:hAnsiTheme="majorHAnsi" w:cstheme="majorHAnsi"/>
        </w:rPr>
        <w:t>One</w:t>
      </w:r>
      <w:r w:rsidR="006C6D7B" w:rsidRPr="00AE7584">
        <w:rPr>
          <w:rFonts w:asciiTheme="majorHAnsi" w:hAnsiTheme="majorHAnsi" w:cstheme="majorHAnsi"/>
        </w:rPr>
        <w:t xml:space="preserve"> amicus details the regulatory history of the SEC’s rule, arguing that the SEC gave no notice that its final rule would change the definition of whistleblowers entitled to antiretaliation protection.</w:t>
      </w:r>
      <w:r w:rsidR="006C6D7B" w:rsidRPr="00AE7584">
        <w:rPr>
          <w:rStyle w:val="FootnoteReference"/>
          <w:rFonts w:asciiTheme="majorHAnsi" w:hAnsiTheme="majorHAnsi" w:cstheme="majorHAnsi"/>
        </w:rPr>
        <w:footnoteReference w:id="67"/>
      </w:r>
      <w:r w:rsidRPr="00AE7584">
        <w:rPr>
          <w:rFonts w:asciiTheme="majorHAnsi" w:hAnsiTheme="majorHAnsi" w:cstheme="majorHAnsi"/>
        </w:rPr>
        <w:t xml:space="preserve"> But another</w:t>
      </w:r>
      <w:r w:rsidR="004B7FC3" w:rsidRPr="00AE7584">
        <w:rPr>
          <w:rFonts w:asciiTheme="majorHAnsi" w:hAnsiTheme="majorHAnsi" w:cstheme="majorHAnsi"/>
        </w:rPr>
        <w:t xml:space="preserve"> amicus</w:t>
      </w:r>
      <w:r w:rsidRPr="00AE7584">
        <w:rPr>
          <w:rFonts w:asciiTheme="majorHAnsi" w:hAnsiTheme="majorHAnsi" w:cstheme="majorHAnsi"/>
        </w:rPr>
        <w:t>, heavily involved in the SEC’s processes, argues that “the regulated community, en masse, strongly urged the SEC to define the ‘manner’ an employee could qualify as a ‘whistleblower’ to include persons who reported violations internally.”</w:t>
      </w:r>
      <w:r w:rsidRPr="00AE7584">
        <w:rPr>
          <w:rStyle w:val="FootnoteReference"/>
          <w:rFonts w:asciiTheme="majorHAnsi" w:hAnsiTheme="majorHAnsi" w:cstheme="majorHAnsi"/>
        </w:rPr>
        <w:footnoteReference w:id="68"/>
      </w:r>
    </w:p>
    <w:p w:rsidR="008821AB" w:rsidRDefault="007910BD" w:rsidP="00AE7584">
      <w:pPr>
        <w:pStyle w:val="BlockText"/>
        <w:numPr>
          <w:ilvl w:val="0"/>
          <w:numId w:val="32"/>
        </w:numPr>
        <w:spacing w:before="240" w:after="0"/>
        <w:jc w:val="both"/>
        <w:rPr>
          <w:rFonts w:asciiTheme="majorHAnsi" w:hAnsiTheme="majorHAnsi" w:cstheme="majorHAnsi"/>
        </w:rPr>
      </w:pPr>
      <w:r w:rsidRPr="00AE7584">
        <w:rPr>
          <w:rFonts w:asciiTheme="majorHAnsi" w:hAnsiTheme="majorHAnsi" w:cstheme="majorHAnsi"/>
        </w:rPr>
        <w:t>The Chamber of Commerce disputes the notion that SOX’s and Dodd-Frank’s remedial schemes are merely different. It states that awards of double-backpay under Dodd-Frank are typically higher than awards of tort damages under SOX.</w:t>
      </w:r>
      <w:r w:rsidRPr="00AE7584">
        <w:rPr>
          <w:rStyle w:val="FootnoteReference"/>
          <w:rFonts w:asciiTheme="majorHAnsi" w:hAnsiTheme="majorHAnsi" w:cstheme="majorHAnsi"/>
        </w:rPr>
        <w:footnoteReference w:id="69"/>
      </w:r>
    </w:p>
    <w:p w:rsidR="00C00ABF" w:rsidRPr="00AE7584" w:rsidRDefault="00C00ABF" w:rsidP="00AE7584">
      <w:pPr>
        <w:pStyle w:val="BlockText"/>
        <w:spacing w:before="240" w:after="0"/>
        <w:rPr>
          <w:rFonts w:asciiTheme="majorHAnsi" w:hAnsiTheme="majorHAnsi" w:cstheme="majorHAnsi"/>
          <w:b/>
        </w:rPr>
      </w:pPr>
      <w:r w:rsidRPr="00AE7584">
        <w:rPr>
          <w:rFonts w:asciiTheme="majorHAnsi" w:hAnsiTheme="majorHAnsi" w:cstheme="majorHAnsi"/>
          <w:b/>
        </w:rPr>
        <w:t>7. Implications.</w:t>
      </w:r>
    </w:p>
    <w:p w:rsidR="00001AD5" w:rsidRDefault="00AE7584" w:rsidP="00AE7584">
      <w:pPr>
        <w:pStyle w:val="BlockText"/>
        <w:spacing w:before="240" w:after="0"/>
        <w:jc w:val="both"/>
        <w:rPr>
          <w:rFonts w:asciiTheme="majorHAnsi" w:hAnsiTheme="majorHAnsi" w:cstheme="majorHAnsi"/>
        </w:rPr>
      </w:pPr>
      <w:r>
        <w:rPr>
          <w:rFonts w:asciiTheme="majorHAnsi" w:hAnsiTheme="majorHAnsi" w:cstheme="majorHAnsi"/>
        </w:rPr>
        <w:t xml:space="preserve">If the Ninth Circuit’s decision is affirmed, the real-world consequences for employers are unclear. On the one hand, employees who report internally would be protected from retaliation. This would encourage internal reporting, which most employers view as a more favorable action by employees than external reporting. But on the other hand, it would </w:t>
      </w:r>
      <w:r w:rsidR="00A537C0">
        <w:rPr>
          <w:rFonts w:asciiTheme="majorHAnsi" w:hAnsiTheme="majorHAnsi" w:cstheme="majorHAnsi"/>
        </w:rPr>
        <w:t>grant</w:t>
      </w:r>
      <w:r>
        <w:rPr>
          <w:rFonts w:asciiTheme="majorHAnsi" w:hAnsiTheme="majorHAnsi" w:cstheme="majorHAnsi"/>
        </w:rPr>
        <w:t xml:space="preserve"> those internally reporting em</w:t>
      </w:r>
      <w:r w:rsidR="00A537C0">
        <w:rPr>
          <w:rFonts w:asciiTheme="majorHAnsi" w:hAnsiTheme="majorHAnsi" w:cstheme="majorHAnsi"/>
        </w:rPr>
        <w:t>ployees more leverage. They could bring suit immediately in federal court rather than go through an administrative process. They could wait years to bring that suit rather than act within SOX’s 180-day time limit. And they could receive double back-pay, rather than single back-pay. And its possible such employees could get two bites at the apple. If a first claim under SOX fails, they could then sue in federal court under Dodd-Frank.</w:t>
      </w:r>
    </w:p>
    <w:p w:rsidR="00BB04A6" w:rsidRPr="00AE7584" w:rsidRDefault="00A537C0" w:rsidP="00AE7584">
      <w:pPr>
        <w:pStyle w:val="BlockText"/>
        <w:spacing w:before="240" w:after="0"/>
        <w:jc w:val="both"/>
        <w:rPr>
          <w:rFonts w:asciiTheme="majorHAnsi" w:hAnsiTheme="majorHAnsi" w:cstheme="majorHAnsi"/>
        </w:rPr>
      </w:pPr>
      <w:r>
        <w:rPr>
          <w:rFonts w:asciiTheme="majorHAnsi" w:hAnsiTheme="majorHAnsi" w:cstheme="majorHAnsi"/>
        </w:rPr>
        <w:t>More broadly, encouraging internal reporting may, ironically, result in more securities fraud being exposed than a regime that encourages external reporting. Some of the amici discuss the data, which shows that far more corporate malfeasance comes from employee tips than from management detection, auditing</w:t>
      </w:r>
      <w:r w:rsidR="009A4F7D">
        <w:rPr>
          <w:rFonts w:asciiTheme="majorHAnsi" w:hAnsiTheme="majorHAnsi" w:cstheme="majorHAnsi"/>
        </w:rPr>
        <w:t>, or government investigations.</w:t>
      </w:r>
    </w:p>
    <w:sectPr w:rsidR="00BB04A6" w:rsidRPr="00AE7584" w:rsidSect="0097222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946" w:rsidRDefault="00680946" w:rsidP="009A2CBA">
      <w:r>
        <w:separator/>
      </w:r>
    </w:p>
  </w:endnote>
  <w:endnote w:type="continuationSeparator" w:id="0">
    <w:p w:rsidR="00680946" w:rsidRDefault="00680946"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6" w:rsidRDefault="000B1846" w:rsidP="000421B5">
    <w:pPr>
      <w:pStyle w:val="Footer"/>
    </w:pPr>
    <w:r>
      <w:tab/>
    </w:r>
    <w:r>
      <w:fldChar w:fldCharType="begin"/>
    </w:r>
    <w:r>
      <w:instrText xml:space="preserve"> PAGE   \* MERGEFORMAT </w:instrText>
    </w:r>
    <w:r>
      <w:fldChar w:fldCharType="separate"/>
    </w:r>
    <w:r w:rsidR="00F86D81">
      <w:rPr>
        <w:noProof/>
      </w:rPr>
      <w:t>7</w:t>
    </w:r>
    <w:r>
      <w:rPr>
        <w:noProof/>
      </w:rPr>
      <w:fldChar w:fldCharType="end"/>
    </w:r>
  </w:p>
  <w:p w:rsidR="000B1846" w:rsidRPr="00F86D81" w:rsidRDefault="00F86D81" w:rsidP="00F86D81">
    <w:pPr>
      <w:pStyle w:val="LegalParagraph"/>
      <w:jc w:val="center"/>
      <w:rPr>
        <w:rStyle w:val="DocID"/>
        <w:rFonts w:ascii="Arial" w:hAnsi="Arial"/>
        <w:sz w:val="15"/>
      </w:rPr>
    </w:pPr>
    <w:r w:rsidRPr="006A1DE2">
      <w:t>Copyright ©</w:t>
    </w:r>
    <w:r>
      <w:t>2017 Holland &amp; Knight LLP</w:t>
    </w:r>
    <w:r w:rsidRPr="006A1DE2">
      <w:t xml:space="preserve"> All </w:t>
    </w:r>
    <w:r>
      <w:t>R</w:t>
    </w:r>
    <w:r w:rsidRPr="006A1DE2">
      <w:t xml:space="preserve">ights </w:t>
    </w:r>
    <w:r>
      <w:t>R</w:t>
    </w:r>
    <w:r w:rsidRPr="006A1DE2">
      <w:t>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6" w:rsidRPr="00911FE4" w:rsidRDefault="000B1846"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F86D81">
      <w:rPr>
        <w:noProof/>
        <w:sz w:val="20"/>
      </w:rPr>
      <w:instrText>7</w:instrText>
    </w:r>
    <w:r>
      <w:rPr>
        <w:sz w:val="20"/>
      </w:rPr>
      <w:fldChar w:fldCharType="end"/>
    </w:r>
    <w:r>
      <w:rPr>
        <w:sz w:val="20"/>
      </w:rPr>
      <w:instrText xml:space="preserve"> = 1 </w:instrText>
    </w:r>
    <w:r w:rsidR="00680946">
      <w:fldChar w:fldCharType="begin"/>
    </w:r>
    <w:r w:rsidR="00680946">
      <w:instrText xml:space="preserve"> DOCPROPERTY "DOCID" \* MERGEFORMAT </w:instrText>
    </w:r>
    <w:r w:rsidR="00680946">
      <w:fldChar w:fldCharType="separate"/>
    </w:r>
    <w:r w:rsidRPr="00C00ABF">
      <w:rPr>
        <w:rStyle w:val="DocID"/>
      </w:rPr>
      <w:instrText xml:space="preserve"> </w:instrText>
    </w:r>
    <w:r w:rsidR="00680946">
      <w:rPr>
        <w:rStyle w:val="DocID"/>
      </w:rPr>
      <w:fldChar w:fldCharType="end"/>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946" w:rsidRDefault="00680946" w:rsidP="009A2CBA">
      <w:r>
        <w:separator/>
      </w:r>
    </w:p>
  </w:footnote>
  <w:footnote w:type="continuationSeparator" w:id="0">
    <w:p w:rsidR="00680946" w:rsidRDefault="00680946" w:rsidP="009A2CBA">
      <w:r>
        <w:continuationSeparator/>
      </w:r>
    </w:p>
  </w:footnote>
  <w:footnote w:id="1">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w:t>
      </w:r>
      <w:r w:rsidRPr="00A537C0">
        <w:rPr>
          <w:rFonts w:asciiTheme="majorHAnsi" w:hAnsiTheme="majorHAnsi" w:cstheme="majorHAnsi"/>
        </w:rPr>
        <w:t>Sarbanes-Oxley Act of 2002, Pub. L. No. 107-204, § 806(a), 116 Stat. 745, 802–03</w:t>
      </w:r>
      <w:r w:rsidRPr="00A537C0">
        <w:rPr>
          <w:rFonts w:asciiTheme="majorHAnsi" w:hAnsiTheme="majorHAnsi" w:cstheme="majorHAnsi"/>
          <w:i/>
        </w:rPr>
        <w:t xml:space="preserve">, codified as amended at </w:t>
      </w:r>
      <w:r w:rsidRPr="00A537C0">
        <w:rPr>
          <w:rFonts w:asciiTheme="majorHAnsi" w:hAnsiTheme="majorHAnsi" w:cstheme="majorHAnsi"/>
        </w:rPr>
        <w:t xml:space="preserve">18 U.S.C. § 1514A(a)(1); </w:t>
      </w:r>
      <w:r w:rsidRPr="00A537C0">
        <w:rPr>
          <w:rFonts w:asciiTheme="majorHAnsi" w:hAnsiTheme="majorHAnsi" w:cstheme="majorHAnsi"/>
          <w:i/>
        </w:rPr>
        <w:t>see also Digital Realty</w:t>
      </w:r>
      <w:r w:rsidRPr="00A537C0">
        <w:rPr>
          <w:rFonts w:asciiTheme="majorHAnsi" w:hAnsiTheme="majorHAnsi" w:cstheme="majorHAnsi"/>
        </w:rPr>
        <w:t>, 850 F.3d at 1048.</w:t>
      </w:r>
    </w:p>
  </w:footnote>
  <w:footnote w:id="2">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w:t>
      </w:r>
      <w:r w:rsidRPr="00A537C0">
        <w:rPr>
          <w:rFonts w:asciiTheme="majorHAnsi" w:hAnsiTheme="majorHAnsi" w:cstheme="majorHAnsi"/>
        </w:rPr>
        <w:t xml:space="preserve">Dodd-Frank Wall Street Reform and Consumer Protection Act, Pub. L. No. 111-203, § 922(a), 124 Stat. 1376, 1841–49 (2010), </w:t>
      </w:r>
      <w:r w:rsidRPr="00A537C0">
        <w:rPr>
          <w:rFonts w:asciiTheme="majorHAnsi" w:hAnsiTheme="majorHAnsi" w:cstheme="majorHAnsi"/>
          <w:i/>
        </w:rPr>
        <w:t xml:space="preserve">codified at </w:t>
      </w:r>
      <w:r w:rsidRPr="00A537C0">
        <w:rPr>
          <w:rFonts w:asciiTheme="majorHAnsi" w:hAnsiTheme="majorHAnsi" w:cstheme="majorHAnsi"/>
        </w:rPr>
        <w:t>15 U.S.C. § 78u-6 (Exchange Act § 21F).</w:t>
      </w:r>
    </w:p>
  </w:footnote>
  <w:footnote w:id="3">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15 U.S.C. § 78u-6(a)(6) (emphasis added).</w:t>
      </w:r>
    </w:p>
  </w:footnote>
  <w:footnote w:id="4">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15 U.S.C. § 78u-6(h)(1)(A) (emphasis added).</w:t>
      </w:r>
    </w:p>
  </w:footnote>
  <w:footnote w:id="5">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002557AD" w:rsidRPr="00A537C0">
        <w:rPr>
          <w:rFonts w:asciiTheme="majorHAnsi" w:hAnsiTheme="majorHAnsi" w:cstheme="majorHAnsi"/>
          <w:i/>
        </w:rPr>
        <w:t xml:space="preserve">See </w:t>
      </w:r>
      <w:r w:rsidRPr="00A537C0">
        <w:rPr>
          <w:rFonts w:asciiTheme="majorHAnsi" w:hAnsiTheme="majorHAnsi" w:cstheme="majorHAnsi"/>
          <w:i/>
        </w:rPr>
        <w:t>Somers v. Digital Realty Trust, Inc.</w:t>
      </w:r>
      <w:r w:rsidRPr="00A537C0">
        <w:rPr>
          <w:rFonts w:asciiTheme="majorHAnsi" w:hAnsiTheme="majorHAnsi" w:cstheme="majorHAnsi"/>
        </w:rPr>
        <w:t>, 119 F. Supp. 3d 1088, 1098 (N.D. Cal. 2015) (in</w:t>
      </w:r>
      <w:r w:rsidR="002557AD" w:rsidRPr="00A537C0">
        <w:rPr>
          <w:rFonts w:asciiTheme="majorHAnsi" w:hAnsiTheme="majorHAnsi" w:cstheme="majorHAnsi"/>
        </w:rPr>
        <w:t>ternal quotation marks omitted) (“As a number of courts have recognized, this [clause (iii)] appears to be in direct conflict with [Dodd Frank’s] definition of a whistleblower because [clause (iii)] provides protection to persons who have not disclosed information to the SEC, while [the definition] requires the person report to the [SEC].”).</w:t>
      </w:r>
    </w:p>
  </w:footnote>
  <w:footnote w:id="6">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w:t>
      </w:r>
      <w:r w:rsidRPr="00A537C0">
        <w:rPr>
          <w:rFonts w:asciiTheme="majorHAnsi" w:hAnsiTheme="majorHAnsi" w:cstheme="majorHAnsi"/>
        </w:rPr>
        <w:t xml:space="preserve">Securities Whistleblower Incentives and Protections (Adopting Release), 78 Fed. Reg. 34300, 34301–34304 (June 13, 201), </w:t>
      </w:r>
      <w:r w:rsidRPr="00A537C0">
        <w:rPr>
          <w:rFonts w:asciiTheme="majorHAnsi" w:hAnsiTheme="majorHAnsi" w:cstheme="majorHAnsi"/>
          <w:i/>
        </w:rPr>
        <w:t>codified at</w:t>
      </w:r>
      <w:r w:rsidRPr="00A537C0">
        <w:rPr>
          <w:rFonts w:asciiTheme="majorHAnsi" w:hAnsiTheme="majorHAnsi" w:cstheme="majorHAnsi"/>
        </w:rPr>
        <w:t xml:space="preserve"> 17 C.F.R. § 240.21F-2. </w:t>
      </w:r>
    </w:p>
  </w:footnote>
  <w:footnote w:id="7">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34304 (emphasis added).</w:t>
      </w:r>
    </w:p>
  </w:footnote>
  <w:footnote w:id="8">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17 C.F.R. § 240.21F-2(b)(1).</w:t>
      </w:r>
    </w:p>
  </w:footnote>
  <w:footnote w:id="9">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Digital Realty</w:t>
      </w:r>
      <w:r w:rsidRPr="00A537C0">
        <w:rPr>
          <w:rFonts w:asciiTheme="majorHAnsi" w:hAnsiTheme="majorHAnsi" w:cstheme="majorHAnsi"/>
        </w:rPr>
        <w:t xml:space="preserve">, 119 F. Supp. 3d at 1097 (quoting </w:t>
      </w:r>
      <w:r w:rsidRPr="00A537C0">
        <w:rPr>
          <w:rFonts w:asciiTheme="majorHAnsi" w:hAnsiTheme="majorHAnsi" w:cstheme="majorHAnsi"/>
          <w:i/>
        </w:rPr>
        <w:t>Connolly v. Remkes</w:t>
      </w:r>
      <w:r w:rsidRPr="00A537C0">
        <w:rPr>
          <w:rFonts w:asciiTheme="majorHAnsi" w:hAnsiTheme="majorHAnsi" w:cstheme="majorHAnsi"/>
        </w:rPr>
        <w:t xml:space="preserve">, No. 5:14-cv-1344-LHK, 2014 WL 5473144, at *5 (N.D. Cal. Oct. 28, 2014)); </w:t>
      </w:r>
      <w:r w:rsidRPr="00A537C0">
        <w:rPr>
          <w:rFonts w:asciiTheme="majorHAnsi" w:hAnsiTheme="majorHAnsi" w:cstheme="majorHAnsi"/>
          <w:i/>
        </w:rPr>
        <w:t xml:space="preserve">see also id. </w:t>
      </w:r>
      <w:r w:rsidRPr="00A537C0">
        <w:rPr>
          <w:rFonts w:asciiTheme="majorHAnsi" w:hAnsiTheme="majorHAnsi" w:cstheme="majorHAnsi"/>
        </w:rPr>
        <w:t xml:space="preserve">at 1097 n.3 (collecting cases); </w:t>
      </w:r>
      <w:r w:rsidRPr="00A537C0">
        <w:rPr>
          <w:rFonts w:asciiTheme="majorHAnsi" w:hAnsiTheme="majorHAnsi" w:cstheme="majorHAnsi"/>
          <w:i/>
        </w:rPr>
        <w:t>Berman v. Neo@ Ogilvy LLC</w:t>
      </w:r>
      <w:r w:rsidRPr="00A537C0">
        <w:rPr>
          <w:rFonts w:asciiTheme="majorHAnsi" w:hAnsiTheme="majorHAnsi" w:cstheme="majorHAnsi"/>
        </w:rPr>
        <w:t>, 801 F.3d 145, 153 (2d Cir. 2015) (collecting more cases).</w:t>
      </w:r>
    </w:p>
  </w:footnote>
  <w:footnote w:id="10">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Asadi v. GE Energy (USA), LLC</w:t>
      </w:r>
      <w:r w:rsidRPr="00A537C0">
        <w:rPr>
          <w:rFonts w:asciiTheme="majorHAnsi" w:hAnsiTheme="majorHAnsi" w:cstheme="majorHAnsi"/>
        </w:rPr>
        <w:t>, 720 F.3d 620, 625 (5th Cir. 2013).</w:t>
      </w:r>
    </w:p>
  </w:footnote>
  <w:footnote w:id="11">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Id.</w:t>
      </w:r>
    </w:p>
  </w:footnote>
  <w:footnote w:id="12">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628–29.</w:t>
      </w:r>
    </w:p>
  </w:footnote>
  <w:footnote w:id="13">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151.</w:t>
      </w:r>
    </w:p>
  </w:footnote>
  <w:footnote w:id="14">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id.</w:t>
      </w:r>
    </w:p>
  </w:footnote>
  <w:footnote w:id="15">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id.</w:t>
      </w:r>
      <w:r w:rsidRPr="00A537C0">
        <w:rPr>
          <w:rFonts w:asciiTheme="majorHAnsi" w:hAnsiTheme="majorHAnsi" w:cstheme="majorHAnsi"/>
        </w:rPr>
        <w:t>at 151–52.</w:t>
      </w:r>
    </w:p>
  </w:footnote>
  <w:footnote w:id="16">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155.</w:t>
      </w:r>
    </w:p>
  </w:footnote>
  <w:footnote w:id="17">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155–60 (Jacobs, J., dissenting).</w:t>
      </w:r>
    </w:p>
  </w:footnote>
  <w:footnote w:id="18">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Digital Realty</w:t>
      </w:r>
      <w:r w:rsidRPr="00A537C0">
        <w:rPr>
          <w:rFonts w:asciiTheme="majorHAnsi" w:hAnsiTheme="majorHAnsi" w:cstheme="majorHAnsi"/>
        </w:rPr>
        <w:t>, 119 F. Supp. at 1092.</w:t>
      </w:r>
    </w:p>
  </w:footnote>
  <w:footnote w:id="19">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id.</w:t>
      </w:r>
    </w:p>
  </w:footnote>
  <w:footnote w:id="20">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id.</w:t>
      </w:r>
      <w:r w:rsidRPr="00A537C0">
        <w:rPr>
          <w:rFonts w:asciiTheme="majorHAnsi" w:hAnsiTheme="majorHAnsi" w:cstheme="majorHAnsi"/>
        </w:rPr>
        <w:t xml:space="preserve">; </w:t>
      </w:r>
      <w:r w:rsidRPr="00A537C0">
        <w:rPr>
          <w:rFonts w:asciiTheme="majorHAnsi" w:hAnsiTheme="majorHAnsi" w:cstheme="majorHAnsi"/>
          <w:i/>
        </w:rPr>
        <w:t>see also Somers v. Digital Realty Trust Inc.</w:t>
      </w:r>
      <w:r w:rsidRPr="00A537C0">
        <w:rPr>
          <w:rFonts w:asciiTheme="majorHAnsi" w:hAnsiTheme="majorHAnsi" w:cstheme="majorHAnsi"/>
        </w:rPr>
        <w:t xml:space="preserve">, 850 F.3d 1045, 1047 (9th Cir. 2017). Somers brought other claims as well, none of which are relevant here. </w:t>
      </w:r>
      <w:r w:rsidRPr="00A537C0">
        <w:rPr>
          <w:rFonts w:asciiTheme="majorHAnsi" w:hAnsiTheme="majorHAnsi" w:cstheme="majorHAnsi"/>
          <w:i/>
        </w:rPr>
        <w:t>See Digital Realty</w:t>
      </w:r>
      <w:r w:rsidRPr="00A537C0">
        <w:rPr>
          <w:rFonts w:asciiTheme="majorHAnsi" w:hAnsiTheme="majorHAnsi" w:cstheme="majorHAnsi"/>
        </w:rPr>
        <w:t>, 119 F. Supp. 3d at 1091.</w:t>
      </w:r>
    </w:p>
  </w:footnote>
  <w:footnote w:id="21">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generally Digital Realty</w:t>
      </w:r>
      <w:r w:rsidRPr="00A537C0">
        <w:rPr>
          <w:rFonts w:asciiTheme="majorHAnsi" w:hAnsiTheme="majorHAnsi" w:cstheme="majorHAnsi"/>
        </w:rPr>
        <w:t xml:space="preserve">, 119 F. Supp. 3d 1088. </w:t>
      </w:r>
    </w:p>
  </w:footnote>
  <w:footnote w:id="22">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Digital Realty</w:t>
      </w:r>
      <w:r w:rsidRPr="00A537C0">
        <w:rPr>
          <w:rFonts w:asciiTheme="majorHAnsi" w:hAnsiTheme="majorHAnsi" w:cstheme="majorHAnsi"/>
        </w:rPr>
        <w:t>, 850 F.3d at 1047.</w:t>
      </w:r>
    </w:p>
  </w:footnote>
  <w:footnote w:id="23">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1049–50.</w:t>
      </w:r>
    </w:p>
  </w:footnote>
  <w:footnote w:id="24">
    <w:p w:rsidR="000B1846" w:rsidRPr="00A537C0" w:rsidRDefault="000B1846" w:rsidP="005C4DF7">
      <w:pPr>
        <w:pStyle w:val="FootnoteText"/>
        <w:jc w:val="both"/>
        <w:rPr>
          <w:rFonts w:asciiTheme="majorHAnsi" w:hAnsiTheme="majorHAnsi" w:cstheme="majorHAnsi"/>
          <w: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1049.</w:t>
      </w:r>
    </w:p>
  </w:footnote>
  <w:footnote w:id="25">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 xml:space="preserve">(quoting </w:t>
      </w:r>
      <w:r w:rsidRPr="00A537C0">
        <w:rPr>
          <w:rFonts w:asciiTheme="majorHAnsi" w:hAnsiTheme="majorHAnsi" w:cstheme="majorHAnsi"/>
          <w:i/>
        </w:rPr>
        <w:t>King</w:t>
      </w:r>
      <w:r w:rsidRPr="00A537C0">
        <w:rPr>
          <w:rFonts w:asciiTheme="majorHAnsi" w:hAnsiTheme="majorHAnsi" w:cstheme="majorHAnsi"/>
        </w:rPr>
        <w:t>, 135 S. Ct. at 2493 n.3).</w:t>
      </w:r>
    </w:p>
  </w:footnote>
  <w:footnote w:id="26">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 xml:space="preserve">(quoting Antonin Scalia &amp; Bryan A. Garner, </w:t>
      </w:r>
      <w:r w:rsidRPr="00A537C0">
        <w:rPr>
          <w:rFonts w:asciiTheme="majorHAnsi" w:hAnsiTheme="majorHAnsi" w:cstheme="majorHAnsi"/>
          <w:i/>
        </w:rPr>
        <w:t>Reading Law: The Interpretation of Legal Texts</w:t>
      </w:r>
      <w:r w:rsidRPr="00A537C0">
        <w:rPr>
          <w:rFonts w:asciiTheme="majorHAnsi" w:hAnsiTheme="majorHAnsi" w:cstheme="majorHAnsi"/>
        </w:rPr>
        <w:t xml:space="preserve"> 228 (2012)).</w:t>
      </w:r>
    </w:p>
  </w:footnote>
  <w:footnote w:id="27">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1050.</w:t>
      </w:r>
    </w:p>
  </w:footnote>
  <w:footnote w:id="28">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1050–51.</w:t>
      </w:r>
    </w:p>
  </w:footnote>
  <w:footnote w:id="29">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1051 (Owens, J., dissenting).</w:t>
      </w:r>
    </w:p>
  </w:footnote>
  <w:footnote w:id="30">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Id.</w:t>
      </w:r>
    </w:p>
  </w:footnote>
  <w:footnote w:id="31">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w:t>
      </w:r>
      <w:r w:rsidRPr="00A537C0">
        <w:rPr>
          <w:rFonts w:asciiTheme="majorHAnsi" w:hAnsiTheme="majorHAnsi" w:cstheme="majorHAnsi"/>
        </w:rPr>
        <w:t>Br. f</w:t>
      </w:r>
      <w:r w:rsidR="00B17F4E" w:rsidRPr="00A537C0">
        <w:rPr>
          <w:rFonts w:asciiTheme="majorHAnsi" w:hAnsiTheme="majorHAnsi" w:cstheme="majorHAnsi"/>
        </w:rPr>
        <w:t>or Petitioner</w:t>
      </w:r>
      <w:r w:rsidRPr="00A537C0">
        <w:rPr>
          <w:rFonts w:asciiTheme="majorHAnsi" w:hAnsiTheme="majorHAnsi" w:cstheme="majorHAnsi"/>
        </w:rPr>
        <w:t xml:space="preserve"> at III, </w:t>
      </w:r>
      <w:r w:rsidRPr="00A537C0">
        <w:rPr>
          <w:rFonts w:asciiTheme="majorHAnsi" w:hAnsiTheme="majorHAnsi" w:cstheme="majorHAnsi"/>
          <w:i/>
        </w:rPr>
        <w:t>Digital Realty Trust, Inc. v. Somers</w:t>
      </w:r>
      <w:r w:rsidRPr="00A537C0">
        <w:rPr>
          <w:rFonts w:asciiTheme="majorHAnsi" w:hAnsiTheme="majorHAnsi" w:cstheme="majorHAnsi"/>
        </w:rPr>
        <w:t>, No. 16-1276 (Aug. 2017).</w:t>
      </w:r>
    </w:p>
  </w:footnote>
  <w:footnote w:id="32">
    <w:p w:rsidR="000B1846" w:rsidRPr="00A537C0" w:rsidRDefault="000B1846"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12.</w:t>
      </w:r>
    </w:p>
  </w:footnote>
  <w:footnote w:id="33">
    <w:p w:rsidR="005C69C5" w:rsidRPr="00A537C0" w:rsidRDefault="005C69C5"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20–23.</w:t>
      </w:r>
    </w:p>
  </w:footnote>
  <w:footnote w:id="34">
    <w:p w:rsidR="005C69C5" w:rsidRPr="00A537C0" w:rsidRDefault="005C69C5"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23.</w:t>
      </w:r>
    </w:p>
  </w:footnote>
  <w:footnote w:id="35">
    <w:p w:rsidR="005C69C5" w:rsidRPr="00A537C0" w:rsidRDefault="005C69C5"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23–24.</w:t>
      </w:r>
    </w:p>
  </w:footnote>
  <w:footnote w:id="36">
    <w:p w:rsidR="00932EF2" w:rsidRPr="00A537C0" w:rsidRDefault="00932EF2"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24 (quoting S. Rep. No. 176 (2010) at 110).</w:t>
      </w:r>
    </w:p>
  </w:footnote>
  <w:footnote w:id="37">
    <w:p w:rsidR="00932EF2" w:rsidRPr="00A537C0" w:rsidRDefault="00932EF2"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24–25.</w:t>
      </w:r>
    </w:p>
  </w:footnote>
  <w:footnote w:id="38">
    <w:p w:rsidR="00725C4E" w:rsidRPr="00A537C0" w:rsidRDefault="00725C4E"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25–26.</w:t>
      </w:r>
    </w:p>
  </w:footnote>
  <w:footnote w:id="39">
    <w:p w:rsidR="00725C4E" w:rsidRPr="00A537C0" w:rsidRDefault="00725C4E"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26–27.</w:t>
      </w:r>
    </w:p>
  </w:footnote>
  <w:footnote w:id="40">
    <w:p w:rsidR="00E8609A" w:rsidRPr="00A537C0" w:rsidRDefault="00E8609A"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27–30.</w:t>
      </w:r>
    </w:p>
  </w:footnote>
  <w:footnote w:id="41">
    <w:p w:rsidR="00E8609A" w:rsidRPr="00A537C0" w:rsidRDefault="00E8609A"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28–29.</w:t>
      </w:r>
    </w:p>
  </w:footnote>
  <w:footnote w:id="42">
    <w:p w:rsidR="0024128D" w:rsidRPr="00A537C0" w:rsidRDefault="0024128D"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 xml:space="preserve">at 40; </w:t>
      </w:r>
      <w:r w:rsidRPr="00A537C0">
        <w:rPr>
          <w:rFonts w:asciiTheme="majorHAnsi" w:hAnsiTheme="majorHAnsi" w:cstheme="majorHAnsi"/>
          <w:i/>
        </w:rPr>
        <w:t xml:space="preserve">see also id. </w:t>
      </w:r>
      <w:r w:rsidRPr="00A537C0">
        <w:rPr>
          <w:rFonts w:asciiTheme="majorHAnsi" w:hAnsiTheme="majorHAnsi" w:cstheme="majorHAnsi"/>
        </w:rPr>
        <w:t>at 41 (</w:t>
      </w:r>
      <w:r w:rsidRPr="00A537C0">
        <w:rPr>
          <w:rFonts w:asciiTheme="majorHAnsi" w:hAnsiTheme="majorHAnsi" w:cstheme="majorHAnsi"/>
          <w:i/>
        </w:rPr>
        <w:t>Chevron</w:t>
      </w:r>
      <w:r w:rsidRPr="00A537C0">
        <w:rPr>
          <w:rFonts w:asciiTheme="majorHAnsi" w:hAnsiTheme="majorHAnsi" w:cstheme="majorHAnsi"/>
        </w:rPr>
        <w:t xml:space="preserve"> “does not license interpretive gerrymanders under which an agency keeps parts of statutory context it likes while throwing away parts it does not.” (quoting </w:t>
      </w:r>
      <w:r w:rsidRPr="00A537C0">
        <w:rPr>
          <w:rFonts w:asciiTheme="majorHAnsi" w:hAnsiTheme="majorHAnsi" w:cstheme="majorHAnsi"/>
          <w:i/>
        </w:rPr>
        <w:t>Michigan v. EPA</w:t>
      </w:r>
      <w:r w:rsidRPr="00A537C0">
        <w:rPr>
          <w:rFonts w:asciiTheme="majorHAnsi" w:hAnsiTheme="majorHAnsi" w:cstheme="majorHAnsi"/>
        </w:rPr>
        <w:t>, 135 S. Ct. 2699, 2708 (2015))).</w:t>
      </w:r>
    </w:p>
  </w:footnote>
  <w:footnote w:id="43">
    <w:p w:rsidR="0024128D" w:rsidRPr="00A537C0" w:rsidRDefault="0024128D"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41–45.</w:t>
      </w:r>
    </w:p>
  </w:footnote>
  <w:footnote w:id="44">
    <w:p w:rsidR="00E8609A" w:rsidRPr="00A537C0" w:rsidRDefault="00E8609A"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31–33.</w:t>
      </w:r>
    </w:p>
  </w:footnote>
  <w:footnote w:id="45">
    <w:p w:rsidR="00E8609A" w:rsidRPr="00A537C0" w:rsidRDefault="00E8609A"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33–35.</w:t>
      </w:r>
    </w:p>
  </w:footnote>
  <w:footnote w:id="46">
    <w:p w:rsidR="00EE1D70" w:rsidRPr="00A537C0" w:rsidRDefault="00EE1D70"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36.</w:t>
      </w:r>
    </w:p>
  </w:footnote>
  <w:footnote w:id="47">
    <w:p w:rsidR="00EE1D70" w:rsidRPr="00A537C0" w:rsidRDefault="00EE1D70"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 xml:space="preserve">(quoting </w:t>
      </w:r>
      <w:r w:rsidRPr="00A537C0">
        <w:rPr>
          <w:rFonts w:asciiTheme="majorHAnsi" w:hAnsiTheme="majorHAnsi" w:cstheme="majorHAnsi"/>
          <w:i/>
        </w:rPr>
        <w:t>Ali v. Fed. Bureau of Prisons</w:t>
      </w:r>
      <w:r w:rsidRPr="00A537C0">
        <w:rPr>
          <w:rFonts w:asciiTheme="majorHAnsi" w:hAnsiTheme="majorHAnsi" w:cstheme="majorHAnsi"/>
        </w:rPr>
        <w:t>, 552 U.S. 214, 226 (2008) (citation omitted)).</w:t>
      </w:r>
    </w:p>
  </w:footnote>
  <w:footnote w:id="48">
    <w:p w:rsidR="0024128D" w:rsidRPr="00A537C0" w:rsidRDefault="0024128D"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36–37.</w:t>
      </w:r>
    </w:p>
  </w:footnote>
  <w:footnote w:id="49">
    <w:p w:rsidR="00B17F4E" w:rsidRPr="00A537C0" w:rsidRDefault="00B17F4E"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w:t>
      </w:r>
      <w:r w:rsidRPr="00A537C0">
        <w:rPr>
          <w:rFonts w:asciiTheme="majorHAnsi" w:hAnsiTheme="majorHAnsi" w:cstheme="majorHAnsi"/>
        </w:rPr>
        <w:t xml:space="preserve">Brief for Respondent at I, </w:t>
      </w:r>
      <w:r w:rsidRPr="00A537C0">
        <w:rPr>
          <w:rFonts w:asciiTheme="majorHAnsi" w:hAnsiTheme="majorHAnsi" w:cstheme="majorHAnsi"/>
          <w:i/>
        </w:rPr>
        <w:t>Digital Realty Trust, Inc. v. Somers</w:t>
      </w:r>
      <w:r w:rsidRPr="00A537C0">
        <w:rPr>
          <w:rFonts w:asciiTheme="majorHAnsi" w:hAnsiTheme="majorHAnsi" w:cstheme="majorHAnsi"/>
        </w:rPr>
        <w:t>, No. 16-1276 (Oct. 2017).</w:t>
      </w:r>
    </w:p>
  </w:footnote>
  <w:footnote w:id="50">
    <w:p w:rsidR="008F1C24" w:rsidRPr="00A537C0" w:rsidRDefault="008F1C24"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25–26.</w:t>
      </w:r>
    </w:p>
  </w:footnote>
  <w:footnote w:id="51">
    <w:p w:rsidR="008F1C24" w:rsidRPr="00A537C0" w:rsidRDefault="008F1C24" w:rsidP="005C4DF7">
      <w:pPr>
        <w:pStyle w:val="FootnoteText"/>
        <w:jc w:val="both"/>
        <w:rPr>
          <w:rFonts w:asciiTheme="majorHAnsi" w:hAnsiTheme="majorHAnsi" w:cstheme="majorHAnsi"/>
          <w: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id.</w:t>
      </w:r>
    </w:p>
  </w:footnote>
  <w:footnote w:id="52">
    <w:p w:rsidR="008F1C24" w:rsidRPr="00A537C0" w:rsidRDefault="008F1C24"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26</w:t>
      </w:r>
      <w:r w:rsidR="00E21A57" w:rsidRPr="00A537C0">
        <w:rPr>
          <w:rFonts w:asciiTheme="majorHAnsi" w:hAnsiTheme="majorHAnsi" w:cstheme="majorHAnsi"/>
        </w:rPr>
        <w:t>, 28–29</w:t>
      </w:r>
      <w:r w:rsidRPr="00A537C0">
        <w:rPr>
          <w:rFonts w:asciiTheme="majorHAnsi" w:hAnsiTheme="majorHAnsi" w:cstheme="majorHAnsi"/>
        </w:rPr>
        <w:t>.</w:t>
      </w:r>
    </w:p>
  </w:footnote>
  <w:footnote w:id="53">
    <w:p w:rsidR="008F1C24" w:rsidRPr="00A537C0" w:rsidRDefault="008F1C24"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26–27.</w:t>
      </w:r>
      <w:r w:rsidR="001D3A72" w:rsidRPr="00A537C0">
        <w:rPr>
          <w:rFonts w:asciiTheme="majorHAnsi" w:hAnsiTheme="majorHAnsi" w:cstheme="majorHAnsi"/>
        </w:rPr>
        <w:t xml:space="preserve"> Somers similarly argues that those close-by sections are more telling than the use of the term “covered employee” in Dodd-Frank’s far-flung provisions regarding the Consumer Financial Protection Bureau. </w:t>
      </w:r>
      <w:r w:rsidR="001D3A72" w:rsidRPr="00A537C0">
        <w:rPr>
          <w:rFonts w:asciiTheme="majorHAnsi" w:hAnsiTheme="majorHAnsi" w:cstheme="majorHAnsi"/>
          <w:i/>
        </w:rPr>
        <w:t xml:space="preserve">See id. </w:t>
      </w:r>
      <w:r w:rsidR="001D3A72" w:rsidRPr="00A537C0">
        <w:rPr>
          <w:rFonts w:asciiTheme="majorHAnsi" w:hAnsiTheme="majorHAnsi" w:cstheme="majorHAnsi"/>
        </w:rPr>
        <w:t>at 32–33.</w:t>
      </w:r>
    </w:p>
  </w:footnote>
  <w:footnote w:id="54">
    <w:p w:rsidR="008F1C24" w:rsidRPr="00A537C0" w:rsidRDefault="008F1C24"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27–28.</w:t>
      </w:r>
    </w:p>
  </w:footnote>
  <w:footnote w:id="55">
    <w:p w:rsidR="00E21A57" w:rsidRPr="00A537C0" w:rsidRDefault="00E21A57"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29.</w:t>
      </w:r>
    </w:p>
  </w:footnote>
  <w:footnote w:id="56">
    <w:p w:rsidR="00E21A57" w:rsidRPr="00A537C0" w:rsidRDefault="00E21A57"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30.</w:t>
      </w:r>
    </w:p>
  </w:footnote>
  <w:footnote w:id="57">
    <w:p w:rsidR="001D3A72" w:rsidRPr="00A537C0" w:rsidRDefault="001D3A72" w:rsidP="005C4DF7">
      <w:pPr>
        <w:pStyle w:val="FootnoteText"/>
        <w:jc w:val="both"/>
        <w:rPr>
          <w:rFonts w:asciiTheme="majorHAnsi" w:hAnsiTheme="majorHAnsi" w:cstheme="majorHAnsi"/>
          <w: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id.</w:t>
      </w:r>
    </w:p>
  </w:footnote>
  <w:footnote w:id="58">
    <w:p w:rsidR="00EE1D70" w:rsidRPr="00A537C0" w:rsidRDefault="00EE1D70"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at 31.</w:t>
      </w:r>
    </w:p>
  </w:footnote>
  <w:footnote w:id="59">
    <w:p w:rsidR="00C55BEF" w:rsidRPr="00A537C0" w:rsidRDefault="00C55BEF"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Id. </w:t>
      </w:r>
      <w:r w:rsidRPr="00A537C0">
        <w:rPr>
          <w:rFonts w:asciiTheme="majorHAnsi" w:hAnsiTheme="majorHAnsi" w:cstheme="majorHAnsi"/>
        </w:rPr>
        <w:t xml:space="preserve">at 40 (quoting </w:t>
      </w:r>
      <w:r w:rsidRPr="00A537C0">
        <w:rPr>
          <w:rFonts w:asciiTheme="majorHAnsi" w:hAnsiTheme="majorHAnsi" w:cstheme="majorHAnsi"/>
          <w:i/>
        </w:rPr>
        <w:t>Neo@ Ogilvy</w:t>
      </w:r>
      <w:r w:rsidRPr="00A537C0">
        <w:rPr>
          <w:rFonts w:asciiTheme="majorHAnsi" w:hAnsiTheme="majorHAnsi" w:cstheme="majorHAnsi"/>
        </w:rPr>
        <w:t>, 801 F.3d at 154).</w:t>
      </w:r>
    </w:p>
  </w:footnote>
  <w:footnote w:id="60">
    <w:p w:rsidR="00C55BEF" w:rsidRPr="00A537C0" w:rsidRDefault="00C55BEF"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00D8272E" w:rsidRPr="00A537C0">
        <w:rPr>
          <w:rFonts w:asciiTheme="majorHAnsi" w:hAnsiTheme="majorHAnsi" w:cstheme="majorHAnsi"/>
          <w:i/>
        </w:rPr>
        <w:t xml:space="preserve">See id. </w:t>
      </w:r>
      <w:r w:rsidR="00D8272E" w:rsidRPr="00A537C0">
        <w:rPr>
          <w:rFonts w:asciiTheme="majorHAnsi" w:hAnsiTheme="majorHAnsi" w:cstheme="majorHAnsi"/>
        </w:rPr>
        <w:t>at 41–42.</w:t>
      </w:r>
    </w:p>
  </w:footnote>
  <w:footnote w:id="61">
    <w:p w:rsidR="00EE1D70" w:rsidRPr="00A537C0" w:rsidRDefault="00EE1D70"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See id.</w:t>
      </w:r>
      <w:r w:rsidRPr="00A537C0">
        <w:rPr>
          <w:rFonts w:asciiTheme="majorHAnsi" w:hAnsiTheme="majorHAnsi" w:cstheme="majorHAnsi"/>
        </w:rPr>
        <w:t xml:space="preserve"> at 33–34.</w:t>
      </w:r>
    </w:p>
  </w:footnote>
  <w:footnote w:id="62">
    <w:p w:rsidR="00C55BEF" w:rsidRPr="00A537C0" w:rsidRDefault="00C55BEF"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34–37.</w:t>
      </w:r>
    </w:p>
  </w:footnote>
  <w:footnote w:id="63">
    <w:p w:rsidR="00C55BEF" w:rsidRPr="00A537C0" w:rsidRDefault="00C55BEF"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37.</w:t>
      </w:r>
    </w:p>
  </w:footnote>
  <w:footnote w:id="64">
    <w:p w:rsidR="00C55BEF" w:rsidRPr="00A537C0" w:rsidRDefault="00C55BEF"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id. </w:t>
      </w:r>
      <w:r w:rsidRPr="00A537C0">
        <w:rPr>
          <w:rFonts w:asciiTheme="majorHAnsi" w:hAnsiTheme="majorHAnsi" w:cstheme="majorHAnsi"/>
        </w:rPr>
        <w:t>at 38–39.</w:t>
      </w:r>
    </w:p>
  </w:footnote>
  <w:footnote w:id="65">
    <w:p w:rsidR="00A537C0" w:rsidRPr="00A537C0" w:rsidRDefault="00A537C0" w:rsidP="005C4DF7">
      <w:pPr>
        <w:pStyle w:val="FootnoteText"/>
        <w:jc w:val="both"/>
      </w:pPr>
      <w:r>
        <w:rPr>
          <w:rStyle w:val="FootnoteReference"/>
        </w:rPr>
        <w:footnoteRef/>
      </w:r>
      <w:r>
        <w:t xml:space="preserve"> </w:t>
      </w:r>
      <w:r>
        <w:rPr>
          <w:i/>
        </w:rPr>
        <w:t xml:space="preserve">See </w:t>
      </w:r>
      <w:r>
        <w:t xml:space="preserve">Brief for the United States as Amicus Curiae Supporting Respondent, </w:t>
      </w:r>
      <w:r w:rsidR="009A4F7D" w:rsidRPr="00A537C0">
        <w:rPr>
          <w:rFonts w:asciiTheme="majorHAnsi" w:hAnsiTheme="majorHAnsi" w:cstheme="majorHAnsi"/>
          <w:i/>
        </w:rPr>
        <w:t>Digital Realty Trust, Inc. v. Somers</w:t>
      </w:r>
      <w:r w:rsidR="009A4F7D" w:rsidRPr="00A537C0">
        <w:rPr>
          <w:rFonts w:asciiTheme="majorHAnsi" w:hAnsiTheme="majorHAnsi" w:cstheme="majorHAnsi"/>
        </w:rPr>
        <w:t>, No. 16-1276 (Aug. 2017).</w:t>
      </w:r>
    </w:p>
  </w:footnote>
  <w:footnote w:id="66">
    <w:p w:rsidR="00A537C0" w:rsidRPr="00A537C0" w:rsidRDefault="00A537C0"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Brief of Sen. Charles Grassley as </w:t>
      </w:r>
      <w:r w:rsidRPr="00A537C0">
        <w:rPr>
          <w:rFonts w:asciiTheme="majorHAnsi" w:hAnsiTheme="majorHAnsi" w:cstheme="majorHAnsi"/>
          <w:i/>
        </w:rPr>
        <w:t>Amicus Curiae</w:t>
      </w:r>
      <w:r w:rsidRPr="00A537C0">
        <w:rPr>
          <w:rFonts w:asciiTheme="majorHAnsi" w:hAnsiTheme="majorHAnsi" w:cstheme="majorHAnsi"/>
        </w:rPr>
        <w:t xml:space="preserve"> in Support of Respondent at 1,</w:t>
      </w:r>
      <w:r w:rsidRPr="00A537C0">
        <w:rPr>
          <w:rFonts w:asciiTheme="majorHAnsi" w:hAnsiTheme="majorHAnsi" w:cstheme="majorHAnsi"/>
          <w:i/>
        </w:rPr>
        <w:t xml:space="preserve"> Digital Realty Trust, Inc. v. Somers</w:t>
      </w:r>
      <w:r w:rsidRPr="00A537C0">
        <w:rPr>
          <w:rFonts w:asciiTheme="majorHAnsi" w:hAnsiTheme="majorHAnsi" w:cstheme="majorHAnsi"/>
        </w:rPr>
        <w:t>, No. 16-1276 (Aug. 2017).</w:t>
      </w:r>
    </w:p>
  </w:footnote>
  <w:footnote w:id="67">
    <w:p w:rsidR="006C6D7B" w:rsidRPr="00A537C0" w:rsidRDefault="006C6D7B" w:rsidP="005C4DF7">
      <w:pPr>
        <w:pStyle w:val="FootnoteText"/>
        <w:jc w:val="both"/>
        <w:rPr>
          <w:rFonts w:asciiTheme="majorHAnsi" w:hAnsiTheme="majorHAnsi" w:cstheme="majorHAnsi"/>
          <w: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Pr="00A537C0">
        <w:rPr>
          <w:rFonts w:asciiTheme="majorHAnsi" w:hAnsiTheme="majorHAnsi" w:cstheme="majorHAnsi"/>
          <w:i/>
        </w:rPr>
        <w:t xml:space="preserve">See </w:t>
      </w:r>
      <w:r w:rsidRPr="00A537C0">
        <w:rPr>
          <w:rFonts w:asciiTheme="majorHAnsi" w:hAnsiTheme="majorHAnsi" w:cstheme="majorHAnsi"/>
        </w:rPr>
        <w:t xml:space="preserve">Brief of the Cato Inst. as </w:t>
      </w:r>
      <w:r w:rsidRPr="00A537C0">
        <w:rPr>
          <w:rFonts w:asciiTheme="majorHAnsi" w:hAnsiTheme="majorHAnsi" w:cstheme="majorHAnsi"/>
          <w:i/>
        </w:rPr>
        <w:t xml:space="preserve">Amicus Curiae </w:t>
      </w:r>
      <w:r w:rsidRPr="00A537C0">
        <w:rPr>
          <w:rFonts w:asciiTheme="majorHAnsi" w:hAnsiTheme="majorHAnsi" w:cstheme="majorHAnsi"/>
        </w:rPr>
        <w:t xml:space="preserve">Supporting Petitioner, </w:t>
      </w:r>
      <w:r w:rsidRPr="00A537C0">
        <w:rPr>
          <w:rFonts w:asciiTheme="majorHAnsi" w:hAnsiTheme="majorHAnsi" w:cstheme="majorHAnsi"/>
          <w:i/>
        </w:rPr>
        <w:t>Digital Realty Trust, Inc. v. Somers</w:t>
      </w:r>
      <w:r w:rsidRPr="00A537C0">
        <w:rPr>
          <w:rFonts w:asciiTheme="majorHAnsi" w:hAnsiTheme="majorHAnsi" w:cstheme="majorHAnsi"/>
        </w:rPr>
        <w:t>, No. 16-1276 (</w:t>
      </w:r>
      <w:r w:rsidR="004B7FC3" w:rsidRPr="00A537C0">
        <w:rPr>
          <w:rFonts w:asciiTheme="majorHAnsi" w:hAnsiTheme="majorHAnsi" w:cstheme="majorHAnsi"/>
        </w:rPr>
        <w:t>Oct.</w:t>
      </w:r>
      <w:r w:rsidRPr="00A537C0">
        <w:rPr>
          <w:rFonts w:asciiTheme="majorHAnsi" w:hAnsiTheme="majorHAnsi" w:cstheme="majorHAnsi"/>
        </w:rPr>
        <w:t xml:space="preserve"> 2017).</w:t>
      </w:r>
    </w:p>
  </w:footnote>
  <w:footnote w:id="68">
    <w:p w:rsidR="007910BD" w:rsidRPr="00A537C0" w:rsidRDefault="007910BD"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w:t>
      </w:r>
      <w:r w:rsidR="004B7FC3" w:rsidRPr="00A537C0">
        <w:rPr>
          <w:rFonts w:asciiTheme="majorHAnsi" w:hAnsiTheme="majorHAnsi" w:cstheme="majorHAnsi"/>
          <w:i/>
        </w:rPr>
        <w:t xml:space="preserve">See </w:t>
      </w:r>
      <w:r w:rsidR="004B7FC3" w:rsidRPr="00A537C0">
        <w:rPr>
          <w:rFonts w:asciiTheme="majorHAnsi" w:hAnsiTheme="majorHAnsi" w:cstheme="majorHAnsi"/>
        </w:rPr>
        <w:t xml:space="preserve">Brief for the Nat’l Whistleblower Ctr. et al. as </w:t>
      </w:r>
      <w:r w:rsidR="004B7FC3" w:rsidRPr="00A537C0">
        <w:rPr>
          <w:rFonts w:asciiTheme="majorHAnsi" w:hAnsiTheme="majorHAnsi" w:cstheme="majorHAnsi"/>
          <w:i/>
        </w:rPr>
        <w:t xml:space="preserve">Amici Curiae </w:t>
      </w:r>
      <w:r w:rsidR="004B7FC3" w:rsidRPr="00A537C0">
        <w:rPr>
          <w:rFonts w:asciiTheme="majorHAnsi" w:hAnsiTheme="majorHAnsi" w:cstheme="majorHAnsi"/>
        </w:rPr>
        <w:t xml:space="preserve">in Support of Respondent, </w:t>
      </w:r>
      <w:r w:rsidR="004B7FC3" w:rsidRPr="00A537C0">
        <w:rPr>
          <w:rFonts w:asciiTheme="majorHAnsi" w:hAnsiTheme="majorHAnsi" w:cstheme="majorHAnsi"/>
          <w:i/>
        </w:rPr>
        <w:t>Digital Realty Trust, Inc. v. Somers</w:t>
      </w:r>
      <w:r w:rsidR="004B7FC3" w:rsidRPr="00A537C0">
        <w:rPr>
          <w:rFonts w:asciiTheme="majorHAnsi" w:hAnsiTheme="majorHAnsi" w:cstheme="majorHAnsi"/>
        </w:rPr>
        <w:t>, No. 16-1276 (Aug. 2017).</w:t>
      </w:r>
    </w:p>
  </w:footnote>
  <w:footnote w:id="69">
    <w:p w:rsidR="007910BD" w:rsidRPr="00A537C0" w:rsidRDefault="007910BD" w:rsidP="005C4DF7">
      <w:pPr>
        <w:pStyle w:val="FootnoteText"/>
        <w:jc w:val="both"/>
        <w:rPr>
          <w:rFonts w:asciiTheme="majorHAnsi" w:hAnsiTheme="majorHAnsi" w:cstheme="majorHAnsi"/>
        </w:rPr>
      </w:pPr>
      <w:r w:rsidRPr="00A537C0">
        <w:rPr>
          <w:rStyle w:val="FootnoteReference"/>
          <w:rFonts w:asciiTheme="majorHAnsi" w:hAnsiTheme="majorHAnsi" w:cstheme="majorHAnsi"/>
        </w:rPr>
        <w:footnoteRef/>
      </w:r>
      <w:r w:rsidRPr="00A537C0">
        <w:rPr>
          <w:rFonts w:asciiTheme="majorHAnsi" w:hAnsiTheme="majorHAnsi" w:cstheme="majorHAnsi"/>
        </w:rPr>
        <w:t xml:space="preserve"> Brief of the Chamber of Commerce of the U.S.A. as </w:t>
      </w:r>
      <w:r w:rsidRPr="00A537C0">
        <w:rPr>
          <w:rFonts w:asciiTheme="majorHAnsi" w:hAnsiTheme="majorHAnsi" w:cstheme="majorHAnsi"/>
          <w:i/>
        </w:rPr>
        <w:t xml:space="preserve">Amicus Curiae </w:t>
      </w:r>
      <w:r w:rsidRPr="00A537C0">
        <w:rPr>
          <w:rFonts w:asciiTheme="majorHAnsi" w:hAnsiTheme="majorHAnsi" w:cstheme="majorHAnsi"/>
        </w:rPr>
        <w:t>Supporting Petitioner</w:t>
      </w:r>
      <w:r w:rsidR="009A4F7D">
        <w:rPr>
          <w:rFonts w:asciiTheme="majorHAnsi" w:hAnsiTheme="majorHAnsi" w:cstheme="majorHAnsi"/>
        </w:rPr>
        <w:t xml:space="preserve"> at 19–21</w:t>
      </w:r>
      <w:r w:rsidRPr="00A537C0">
        <w:rPr>
          <w:rFonts w:asciiTheme="majorHAnsi" w:hAnsiTheme="majorHAnsi" w:cstheme="majorHAnsi"/>
        </w:rPr>
        <w:t xml:space="preserve">, </w:t>
      </w:r>
      <w:r w:rsidRPr="00A537C0">
        <w:rPr>
          <w:rFonts w:asciiTheme="majorHAnsi" w:hAnsiTheme="majorHAnsi" w:cstheme="majorHAnsi"/>
          <w:i/>
        </w:rPr>
        <w:t>Digital Realty Trust, Inc. v. Somers</w:t>
      </w:r>
      <w:r w:rsidRPr="00A537C0">
        <w:rPr>
          <w:rFonts w:asciiTheme="majorHAnsi" w:hAnsiTheme="majorHAnsi" w:cstheme="majorHAnsi"/>
        </w:rPr>
        <w:t>, No. 16-1276 (Aug.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D81" w:rsidRDefault="00F86D81">
    <w:pPr>
      <w:pStyle w:val="Header"/>
    </w:pPr>
    <w:r w:rsidRPr="006A1DE2">
      <w:rPr>
        <w:noProof/>
      </w:rPr>
      <w:drawing>
        <wp:inline distT="0" distB="0" distL="0" distR="0" wp14:anchorId="250DC5F2" wp14:editId="1C6FA29E">
          <wp:extent cx="1828800" cy="239040"/>
          <wp:effectExtent l="0" t="0" r="0" b="0"/>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KLogo_RGB_200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2390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0"/>
    <w:multiLevelType w:val="singleLevel"/>
    <w:tmpl w:val="2754217C"/>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B18CF43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8F0BDB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6"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817CC"/>
    <w:multiLevelType w:val="hybridMultilevel"/>
    <w:tmpl w:val="D992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736FB"/>
    <w:multiLevelType w:val="hybridMultilevel"/>
    <w:tmpl w:val="EDE03376"/>
    <w:lvl w:ilvl="0" w:tplc="51F460E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31788"/>
    <w:multiLevelType w:val="hybridMultilevel"/>
    <w:tmpl w:val="DF740C9E"/>
    <w:lvl w:ilvl="0" w:tplc="51F460E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9403E"/>
    <w:multiLevelType w:val="hybridMultilevel"/>
    <w:tmpl w:val="B3CC3B44"/>
    <w:lvl w:ilvl="0" w:tplc="51F460E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0"/>
  </w:num>
  <w:num w:numId="4">
    <w:abstractNumId w:val="12"/>
  </w:num>
  <w:num w:numId="5">
    <w:abstractNumId w:val="27"/>
  </w:num>
  <w:num w:numId="6">
    <w:abstractNumId w:val="22"/>
  </w:num>
  <w:num w:numId="7">
    <w:abstractNumId w:val="19"/>
  </w:num>
  <w:num w:numId="8">
    <w:abstractNumId w:val="32"/>
  </w:num>
  <w:num w:numId="9">
    <w:abstractNumId w:val="21"/>
  </w:num>
  <w:num w:numId="10">
    <w:abstractNumId w:val="8"/>
  </w:num>
  <w:num w:numId="11">
    <w:abstractNumId w:val="7"/>
  </w:num>
  <w:num w:numId="12">
    <w:abstractNumId w:val="9"/>
  </w:num>
  <w:num w:numId="13">
    <w:abstractNumId w:val="17"/>
  </w:num>
  <w:num w:numId="14">
    <w:abstractNumId w:val="26"/>
  </w:num>
  <w:num w:numId="15">
    <w:abstractNumId w:val="29"/>
  </w:num>
  <w:num w:numId="16">
    <w:abstractNumId w:val="30"/>
  </w:num>
  <w:num w:numId="17">
    <w:abstractNumId w:val="24"/>
  </w:num>
  <w:num w:numId="18">
    <w:abstractNumId w:val="11"/>
  </w:num>
  <w:num w:numId="19">
    <w:abstractNumId w:val="28"/>
  </w:num>
  <w:num w:numId="20">
    <w:abstractNumId w:val="31"/>
  </w:num>
  <w:num w:numId="21">
    <w:abstractNumId w:val="23"/>
  </w:num>
  <w:num w:numId="22">
    <w:abstractNumId w:val="33"/>
  </w:num>
  <w:num w:numId="23">
    <w:abstractNumId w:val="14"/>
  </w:num>
  <w:num w:numId="24">
    <w:abstractNumId w:val="13"/>
  </w:num>
  <w:num w:numId="25">
    <w:abstractNumId w:val="16"/>
  </w:num>
  <w:num w:numId="26">
    <w:abstractNumId w:val="6"/>
  </w:num>
  <w:num w:numId="27">
    <w:abstractNumId w:val="4"/>
  </w:num>
  <w:num w:numId="28">
    <w:abstractNumId w:val="3"/>
  </w:num>
  <w:num w:numId="29">
    <w:abstractNumId w:val="2"/>
  </w:num>
  <w:num w:numId="30">
    <w:abstractNumId w:val="1"/>
  </w:num>
  <w:num w:numId="31">
    <w:abstractNumId w:val="10"/>
  </w:num>
  <w:num w:numId="32">
    <w:abstractNumId w:val="18"/>
  </w:num>
  <w:num w:numId="33">
    <w:abstractNumId w:val="2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BF"/>
    <w:rsid w:val="00001AD5"/>
    <w:rsid w:val="00011BBA"/>
    <w:rsid w:val="00027FC3"/>
    <w:rsid w:val="000421B5"/>
    <w:rsid w:val="00057A92"/>
    <w:rsid w:val="00063822"/>
    <w:rsid w:val="00096A82"/>
    <w:rsid w:val="000A4BA4"/>
    <w:rsid w:val="000B1846"/>
    <w:rsid w:val="000E4D83"/>
    <w:rsid w:val="000F6911"/>
    <w:rsid w:val="001133DB"/>
    <w:rsid w:val="001156AF"/>
    <w:rsid w:val="001336CD"/>
    <w:rsid w:val="0014573E"/>
    <w:rsid w:val="00157C0E"/>
    <w:rsid w:val="001963BC"/>
    <w:rsid w:val="00196702"/>
    <w:rsid w:val="001A4303"/>
    <w:rsid w:val="001C0A50"/>
    <w:rsid w:val="001D1B70"/>
    <w:rsid w:val="001D3A72"/>
    <w:rsid w:val="002068F4"/>
    <w:rsid w:val="002348A5"/>
    <w:rsid w:val="0024128D"/>
    <w:rsid w:val="00243FF8"/>
    <w:rsid w:val="00246D22"/>
    <w:rsid w:val="002557AD"/>
    <w:rsid w:val="00260C23"/>
    <w:rsid w:val="00260CC5"/>
    <w:rsid w:val="002630F7"/>
    <w:rsid w:val="002726BE"/>
    <w:rsid w:val="00293EC7"/>
    <w:rsid w:val="003319A7"/>
    <w:rsid w:val="00340740"/>
    <w:rsid w:val="003473F4"/>
    <w:rsid w:val="00364C41"/>
    <w:rsid w:val="003A4FB0"/>
    <w:rsid w:val="003B6AA8"/>
    <w:rsid w:val="003C27A1"/>
    <w:rsid w:val="003F438A"/>
    <w:rsid w:val="00421B4C"/>
    <w:rsid w:val="00482AB7"/>
    <w:rsid w:val="004857FF"/>
    <w:rsid w:val="00486D2E"/>
    <w:rsid w:val="004A39BE"/>
    <w:rsid w:val="004B0CFA"/>
    <w:rsid w:val="004B1E86"/>
    <w:rsid w:val="004B7FC3"/>
    <w:rsid w:val="004C3157"/>
    <w:rsid w:val="004C63D8"/>
    <w:rsid w:val="004F3D87"/>
    <w:rsid w:val="00515BBA"/>
    <w:rsid w:val="005237C4"/>
    <w:rsid w:val="00534D24"/>
    <w:rsid w:val="00571883"/>
    <w:rsid w:val="005C4DF7"/>
    <w:rsid w:val="005C69C5"/>
    <w:rsid w:val="005F4A79"/>
    <w:rsid w:val="00614279"/>
    <w:rsid w:val="00645ABC"/>
    <w:rsid w:val="00645DF6"/>
    <w:rsid w:val="00660D9E"/>
    <w:rsid w:val="00680946"/>
    <w:rsid w:val="00685808"/>
    <w:rsid w:val="006B1D63"/>
    <w:rsid w:val="006C6D7B"/>
    <w:rsid w:val="006F336C"/>
    <w:rsid w:val="00725C4E"/>
    <w:rsid w:val="007720B0"/>
    <w:rsid w:val="007857E8"/>
    <w:rsid w:val="007910BD"/>
    <w:rsid w:val="007A7BF1"/>
    <w:rsid w:val="007D203A"/>
    <w:rsid w:val="00840354"/>
    <w:rsid w:val="00842AE7"/>
    <w:rsid w:val="008667F9"/>
    <w:rsid w:val="008821AB"/>
    <w:rsid w:val="00887092"/>
    <w:rsid w:val="00891D5E"/>
    <w:rsid w:val="008A5A15"/>
    <w:rsid w:val="008B6B8E"/>
    <w:rsid w:val="008C42FA"/>
    <w:rsid w:val="008C44B6"/>
    <w:rsid w:val="008F1C24"/>
    <w:rsid w:val="00932EF2"/>
    <w:rsid w:val="00933C83"/>
    <w:rsid w:val="009474A1"/>
    <w:rsid w:val="00972224"/>
    <w:rsid w:val="00990C70"/>
    <w:rsid w:val="00995E12"/>
    <w:rsid w:val="009A2CBA"/>
    <w:rsid w:val="009A4F7D"/>
    <w:rsid w:val="009B472E"/>
    <w:rsid w:val="009C6F42"/>
    <w:rsid w:val="00A47D5F"/>
    <w:rsid w:val="00A537C0"/>
    <w:rsid w:val="00A862A4"/>
    <w:rsid w:val="00A92BA2"/>
    <w:rsid w:val="00AA65A8"/>
    <w:rsid w:val="00AB2A05"/>
    <w:rsid w:val="00AB6124"/>
    <w:rsid w:val="00AC2836"/>
    <w:rsid w:val="00AD3673"/>
    <w:rsid w:val="00AD4F27"/>
    <w:rsid w:val="00AE4AA4"/>
    <w:rsid w:val="00AE7584"/>
    <w:rsid w:val="00B11BE8"/>
    <w:rsid w:val="00B1354A"/>
    <w:rsid w:val="00B13AED"/>
    <w:rsid w:val="00B17A8F"/>
    <w:rsid w:val="00B17F4E"/>
    <w:rsid w:val="00B26440"/>
    <w:rsid w:val="00B362F3"/>
    <w:rsid w:val="00B454DD"/>
    <w:rsid w:val="00B51F07"/>
    <w:rsid w:val="00B55AA9"/>
    <w:rsid w:val="00B80341"/>
    <w:rsid w:val="00BB04A6"/>
    <w:rsid w:val="00BC3ED9"/>
    <w:rsid w:val="00BD6E8B"/>
    <w:rsid w:val="00C00ABF"/>
    <w:rsid w:val="00C42CC9"/>
    <w:rsid w:val="00C55BEF"/>
    <w:rsid w:val="00C834FC"/>
    <w:rsid w:val="00C8621F"/>
    <w:rsid w:val="00CA06AC"/>
    <w:rsid w:val="00CA1D5A"/>
    <w:rsid w:val="00D22AAC"/>
    <w:rsid w:val="00D45220"/>
    <w:rsid w:val="00D512B2"/>
    <w:rsid w:val="00D8272E"/>
    <w:rsid w:val="00DE517B"/>
    <w:rsid w:val="00DF403D"/>
    <w:rsid w:val="00E07CCB"/>
    <w:rsid w:val="00E21A57"/>
    <w:rsid w:val="00E30B0D"/>
    <w:rsid w:val="00E3534A"/>
    <w:rsid w:val="00E36805"/>
    <w:rsid w:val="00E82644"/>
    <w:rsid w:val="00E84663"/>
    <w:rsid w:val="00E8609A"/>
    <w:rsid w:val="00E95DE1"/>
    <w:rsid w:val="00EA4863"/>
    <w:rsid w:val="00EA69C0"/>
    <w:rsid w:val="00EE1D70"/>
    <w:rsid w:val="00EE7194"/>
    <w:rsid w:val="00F234DF"/>
    <w:rsid w:val="00F53B73"/>
    <w:rsid w:val="00F63211"/>
    <w:rsid w:val="00F828AE"/>
    <w:rsid w:val="00F86D81"/>
    <w:rsid w:val="00F91E86"/>
    <w:rsid w:val="00F94180"/>
    <w:rsid w:val="00FA24A7"/>
    <w:rsid w:val="00FC6317"/>
    <w:rsid w:val="00FF2E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3A30170-6BE8-409D-B4D3-DF79A06C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86"/>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paragraph" w:styleId="BlockText">
    <w:name w:val="Block Text"/>
    <w:basedOn w:val="Normal"/>
    <w:qFormat/>
    <w:rsid w:val="00340740"/>
    <w:pPr>
      <w:spacing w:after="240"/>
    </w:pPr>
    <w:rPr>
      <w:rFonts w:eastAsiaTheme="minorEastAsia"/>
      <w:iCs/>
    </w:rPr>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4B1E86"/>
    <w:pPr>
      <w:spacing w:before="100" w:after="100"/>
    </w:pPr>
    <w:rPr>
      <w:rFonts w:eastAsia="Times New Roman" w:cs="Times New Roman"/>
      <w:b/>
      <w:bCs/>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063822"/>
    <w:pPr>
      <w:spacing w:after="240"/>
      <w:ind w:left="720"/>
    </w:pPr>
  </w:style>
  <w:style w:type="paragraph" w:customStyle="1" w:styleId="BlockText1-2">
    <w:name w:val="Block Text 1 - 2"/>
    <w:basedOn w:val="Normal"/>
    <w:qFormat/>
    <w:rsid w:val="00063822"/>
    <w:pPr>
      <w:spacing w:line="480" w:lineRule="auto"/>
      <w:ind w:left="72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semiHidden/>
    <w:unhideWhenUsed/>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semiHidden/>
    <w:unhideWhenUsed/>
    <w:rsid w:val="002630F7"/>
    <w:pPr>
      <w:spacing w:after="720"/>
      <w:ind w:left="4320"/>
      <w:contextualSpacing/>
    </w:pPr>
  </w:style>
  <w:style w:type="character" w:customStyle="1" w:styleId="ClosingChar">
    <w:name w:val="Closing Char"/>
    <w:basedOn w:val="DefaultParagraphFont"/>
    <w:link w:val="Closing"/>
    <w:uiPriority w:val="99"/>
    <w:semiHidden/>
    <w:rsid w:val="00AD4F2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semiHidden/>
    <w:unhideWhenUsed/>
    <w:rsid w:val="002630F7"/>
    <w:pPr>
      <w:tabs>
        <w:tab w:val="right" w:pos="9216"/>
      </w:tabs>
      <w:spacing w:after="240"/>
      <w:ind w:left="4320"/>
    </w:pPr>
  </w:style>
  <w:style w:type="character" w:customStyle="1" w:styleId="SignatureChar">
    <w:name w:val="Signature Char"/>
    <w:basedOn w:val="DefaultParagraphFont"/>
    <w:link w:val="Signature"/>
    <w:uiPriority w:val="99"/>
    <w:semiHidden/>
    <w:rsid w:val="00AD4F2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customStyle="1" w:styleId="FirmNameInSignature">
    <w:name w:val="FirmNameInSignature"/>
    <w:basedOn w:val="Normal"/>
    <w:next w:val="Signature"/>
    <w:semiHidden/>
    <w:qFormat/>
    <w:rsid w:val="00AD4F27"/>
    <w:pPr>
      <w:keepNext/>
      <w:widowControl w:val="0"/>
      <w:spacing w:after="720"/>
      <w:ind w:left="4320"/>
    </w:pPr>
    <w:rPr>
      <w:rFonts w:eastAsia="Times New Roman" w:cs="Times New Roman"/>
      <w:bCs/>
      <w:iCs/>
      <w:noProof/>
    </w:rPr>
  </w:style>
  <w:style w:type="paragraph" w:styleId="BalloonText">
    <w:name w:val="Balloon Text"/>
    <w:basedOn w:val="Normal"/>
    <w:link w:val="BalloonTextChar"/>
    <w:uiPriority w:val="99"/>
    <w:semiHidden/>
    <w:unhideWhenUsed/>
    <w:rsid w:val="00AD4F27"/>
    <w:rPr>
      <w:rFonts w:ascii="Tahoma" w:hAnsi="Tahoma" w:cs="Tahoma"/>
      <w:sz w:val="16"/>
      <w:szCs w:val="16"/>
    </w:rPr>
  </w:style>
  <w:style w:type="character" w:customStyle="1" w:styleId="BalloonTextChar">
    <w:name w:val="Balloon Text Char"/>
    <w:basedOn w:val="DefaultParagraphFont"/>
    <w:link w:val="BalloonText"/>
    <w:uiPriority w:val="99"/>
    <w:semiHidden/>
    <w:rsid w:val="00AD4F27"/>
    <w:rPr>
      <w:rFonts w:ascii="Tahoma" w:hAnsi="Tahoma" w:cs="Tahoma"/>
      <w:sz w:val="16"/>
      <w:szCs w:val="16"/>
    </w:rPr>
  </w:style>
  <w:style w:type="paragraph" w:customStyle="1" w:styleId="BySignature">
    <w:name w:val="By Signature"/>
    <w:basedOn w:val="Normal"/>
    <w:semiHidden/>
    <w:unhideWhenUsed/>
    <w:qFormat/>
    <w:rsid w:val="00AD4F27"/>
    <w:pPr>
      <w:tabs>
        <w:tab w:val="right" w:leader="underscore" w:pos="9360"/>
      </w:tabs>
      <w:spacing w:after="240"/>
      <w:ind w:left="4867" w:hanging="547"/>
    </w:pPr>
  </w:style>
  <w:style w:type="paragraph" w:styleId="FootnoteText">
    <w:name w:val="footnote text"/>
    <w:basedOn w:val="Normal"/>
    <w:link w:val="FootnoteTextChar"/>
    <w:uiPriority w:val="99"/>
    <w:unhideWhenUsed/>
    <w:rsid w:val="0014573E"/>
    <w:rPr>
      <w:sz w:val="20"/>
      <w:szCs w:val="20"/>
    </w:rPr>
  </w:style>
  <w:style w:type="character" w:customStyle="1" w:styleId="FootnoteTextChar">
    <w:name w:val="Footnote Text Char"/>
    <w:basedOn w:val="DefaultParagraphFont"/>
    <w:link w:val="FootnoteText"/>
    <w:uiPriority w:val="99"/>
    <w:rsid w:val="0014573E"/>
    <w:rPr>
      <w:sz w:val="20"/>
      <w:szCs w:val="20"/>
    </w:rPr>
  </w:style>
  <w:style w:type="character" w:styleId="FootnoteReference">
    <w:name w:val="footnote reference"/>
    <w:basedOn w:val="DefaultParagraphFont"/>
    <w:uiPriority w:val="99"/>
    <w:semiHidden/>
    <w:unhideWhenUsed/>
    <w:rsid w:val="0014573E"/>
    <w:rPr>
      <w:vertAlign w:val="superscript"/>
    </w:rPr>
  </w:style>
  <w:style w:type="paragraph" w:customStyle="1" w:styleId="LegalParagraph">
    <w:name w:val="Legal Paragraph"/>
    <w:basedOn w:val="Normal"/>
    <w:uiPriority w:val="32"/>
    <w:qFormat/>
    <w:rsid w:val="00F86D81"/>
    <w:pPr>
      <w:autoSpaceDE w:val="0"/>
      <w:autoSpaceDN w:val="0"/>
      <w:adjustRightInd w:val="0"/>
      <w:spacing w:before="200" w:line="0" w:lineRule="atLeast"/>
      <w:textAlignment w:val="center"/>
    </w:pPr>
    <w:rPr>
      <w:rFonts w:ascii="Arial" w:eastAsia="Times New Roman" w:hAnsi="Arial" w:cs="Times-Roman"/>
      <w:color w:val="000000"/>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21704">
      <w:bodyDiv w:val="1"/>
      <w:marLeft w:val="0"/>
      <w:marRight w:val="0"/>
      <w:marTop w:val="0"/>
      <w:marBottom w:val="0"/>
      <w:divBdr>
        <w:top w:val="none" w:sz="0" w:space="0" w:color="auto"/>
        <w:left w:val="none" w:sz="0" w:space="0" w:color="auto"/>
        <w:bottom w:val="none" w:sz="0" w:space="0" w:color="auto"/>
        <w:right w:val="none" w:sz="0" w:space="0" w:color="auto"/>
      </w:divBdr>
    </w:div>
    <w:div w:id="1632247378">
      <w:bodyDiv w:val="1"/>
      <w:marLeft w:val="0"/>
      <w:marRight w:val="0"/>
      <w:marTop w:val="0"/>
      <w:marBottom w:val="0"/>
      <w:divBdr>
        <w:top w:val="none" w:sz="0" w:space="0" w:color="auto"/>
        <w:left w:val="none" w:sz="0" w:space="0" w:color="auto"/>
        <w:bottom w:val="none" w:sz="0" w:space="0" w:color="auto"/>
        <w:right w:val="none" w:sz="0" w:space="0" w:color="auto"/>
      </w:divBdr>
      <w:divsChild>
        <w:div w:id="439764785">
          <w:blockQuote w:val="1"/>
          <w:marLeft w:val="0"/>
          <w:marRight w:val="0"/>
          <w:marTop w:val="240"/>
          <w:marBottom w:val="240"/>
          <w:divBdr>
            <w:top w:val="none" w:sz="0" w:space="0" w:color="auto"/>
            <w:left w:val="none" w:sz="0" w:space="0" w:color="auto"/>
            <w:bottom w:val="none" w:sz="0" w:space="0" w:color="auto"/>
            <w:right w:val="none" w:sz="0" w:space="0" w:color="auto"/>
          </w:divBdr>
        </w:div>
        <w:div w:id="1073234402">
          <w:blockQuote w:val="1"/>
          <w:marLeft w:val="0"/>
          <w:marRight w:val="0"/>
          <w:marTop w:val="240"/>
          <w:marBottom w:val="240"/>
          <w:divBdr>
            <w:top w:val="none" w:sz="0" w:space="0" w:color="auto"/>
            <w:left w:val="none" w:sz="0" w:space="0" w:color="auto"/>
            <w:bottom w:val="none" w:sz="0" w:space="0" w:color="auto"/>
            <w:right w:val="none" w:sz="0" w:space="0" w:color="auto"/>
          </w:divBdr>
        </w:div>
        <w:div w:id="42978727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Taylor</dc:creator>
  <cp:lastModifiedBy>Schall, Cait (CHI - X66503)</cp:lastModifiedBy>
  <cp:revision>2</cp:revision>
  <dcterms:created xsi:type="dcterms:W3CDTF">2017-12-19T22:58:00Z</dcterms:created>
  <dcterms:modified xsi:type="dcterms:W3CDTF">2017-12-19T22:58:00Z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ies>
</file>